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CAFF" w14:textId="77777777" w:rsidR="00B27103" w:rsidRPr="003169EA" w:rsidRDefault="000605DF" w:rsidP="003169EA">
      <w:pPr>
        <w:pStyle w:val="Heading2"/>
        <w:spacing w:before="78" w:line="396" w:lineRule="auto"/>
        <w:ind w:left="38" w:right="44"/>
        <w:jc w:val="center"/>
        <w:rPr>
          <w:sz w:val="28"/>
          <w:szCs w:val="28"/>
        </w:rPr>
      </w:pPr>
      <w:r w:rsidRPr="003169EA">
        <w:rPr>
          <w:sz w:val="28"/>
          <w:szCs w:val="28"/>
        </w:rPr>
        <w:t>Role</w:t>
      </w:r>
      <w:r w:rsidRPr="003169EA">
        <w:rPr>
          <w:spacing w:val="-4"/>
          <w:sz w:val="28"/>
          <w:szCs w:val="28"/>
        </w:rPr>
        <w:t xml:space="preserve"> </w:t>
      </w:r>
      <w:r w:rsidRPr="003169EA">
        <w:rPr>
          <w:sz w:val="28"/>
          <w:szCs w:val="28"/>
        </w:rPr>
        <w:t>Policy</w:t>
      </w:r>
      <w:r w:rsidRPr="003169EA">
        <w:rPr>
          <w:spacing w:val="-4"/>
          <w:sz w:val="28"/>
          <w:szCs w:val="28"/>
        </w:rPr>
        <w:t xml:space="preserve"> </w:t>
      </w:r>
      <w:r w:rsidRPr="003169EA">
        <w:rPr>
          <w:sz w:val="28"/>
          <w:szCs w:val="28"/>
        </w:rPr>
        <w:t>Fiscal</w:t>
      </w:r>
      <w:r w:rsidRPr="003169EA">
        <w:rPr>
          <w:spacing w:val="-8"/>
          <w:sz w:val="28"/>
          <w:szCs w:val="28"/>
        </w:rPr>
        <w:t xml:space="preserve"> </w:t>
      </w:r>
      <w:r w:rsidRPr="003169EA">
        <w:rPr>
          <w:sz w:val="28"/>
          <w:szCs w:val="28"/>
        </w:rPr>
        <w:t>And</w:t>
      </w:r>
      <w:r w:rsidRPr="003169EA">
        <w:rPr>
          <w:spacing w:val="-4"/>
          <w:sz w:val="28"/>
          <w:szCs w:val="28"/>
        </w:rPr>
        <w:t xml:space="preserve"> </w:t>
      </w:r>
      <w:r w:rsidRPr="003169EA">
        <w:rPr>
          <w:sz w:val="28"/>
          <w:szCs w:val="28"/>
        </w:rPr>
        <w:t>Monetary</w:t>
      </w:r>
      <w:r w:rsidRPr="003169EA">
        <w:rPr>
          <w:spacing w:val="-14"/>
          <w:sz w:val="28"/>
          <w:szCs w:val="28"/>
        </w:rPr>
        <w:t xml:space="preserve"> </w:t>
      </w:r>
      <w:r w:rsidRPr="003169EA">
        <w:rPr>
          <w:sz w:val="28"/>
          <w:szCs w:val="28"/>
        </w:rPr>
        <w:t>In</w:t>
      </w:r>
      <w:r w:rsidRPr="003169EA">
        <w:rPr>
          <w:spacing w:val="-6"/>
          <w:sz w:val="28"/>
          <w:szCs w:val="28"/>
        </w:rPr>
        <w:t xml:space="preserve"> </w:t>
      </w:r>
      <w:r w:rsidRPr="003169EA">
        <w:rPr>
          <w:sz w:val="28"/>
          <w:szCs w:val="28"/>
        </w:rPr>
        <w:t>Realize</w:t>
      </w:r>
      <w:r w:rsidRPr="003169EA">
        <w:rPr>
          <w:spacing w:val="-4"/>
          <w:sz w:val="28"/>
          <w:szCs w:val="28"/>
        </w:rPr>
        <w:t xml:space="preserve"> </w:t>
      </w:r>
      <w:r w:rsidRPr="003169EA">
        <w:rPr>
          <w:sz w:val="28"/>
          <w:szCs w:val="28"/>
        </w:rPr>
        <w:t>Stability</w:t>
      </w:r>
      <w:r w:rsidRPr="003169EA">
        <w:rPr>
          <w:spacing w:val="-6"/>
          <w:sz w:val="28"/>
          <w:szCs w:val="28"/>
        </w:rPr>
        <w:t xml:space="preserve"> </w:t>
      </w:r>
      <w:r w:rsidRPr="003169EA">
        <w:rPr>
          <w:sz w:val="28"/>
          <w:szCs w:val="28"/>
        </w:rPr>
        <w:t>Economy</w:t>
      </w:r>
      <w:r w:rsidRPr="003169EA">
        <w:rPr>
          <w:spacing w:val="-4"/>
          <w:sz w:val="28"/>
          <w:szCs w:val="28"/>
        </w:rPr>
        <w:t xml:space="preserve"> </w:t>
      </w:r>
      <w:r w:rsidRPr="003169EA">
        <w:rPr>
          <w:sz w:val="28"/>
          <w:szCs w:val="28"/>
        </w:rPr>
        <w:t>Islam</w:t>
      </w:r>
    </w:p>
    <w:p w14:paraId="759CA21B" w14:textId="77777777" w:rsidR="00B27103" w:rsidRDefault="00B27103" w:rsidP="003D3173">
      <w:pPr>
        <w:pStyle w:val="Heading2"/>
        <w:spacing w:before="78" w:line="396" w:lineRule="auto"/>
        <w:ind w:left="38" w:right="44"/>
        <w:jc w:val="both"/>
      </w:pPr>
    </w:p>
    <w:p w14:paraId="046A57FF" w14:textId="76433767" w:rsidR="001C294C" w:rsidRDefault="000605DF" w:rsidP="003169EA">
      <w:pPr>
        <w:pStyle w:val="Heading2"/>
        <w:spacing w:before="78" w:line="396" w:lineRule="auto"/>
        <w:ind w:left="38" w:right="44"/>
        <w:jc w:val="center"/>
      </w:pPr>
      <w:r>
        <w:t xml:space="preserve">Dita Agustin </w:t>
      </w:r>
      <w:r>
        <w:rPr>
          <w:vertAlign w:val="superscript"/>
        </w:rPr>
        <w:t xml:space="preserve">1 </w:t>
      </w:r>
      <w:r>
        <w:t xml:space="preserve">, Elicha Putri Elga </w:t>
      </w:r>
      <w:r>
        <w:rPr>
          <w:vertAlign w:val="superscript"/>
        </w:rPr>
        <w:t xml:space="preserve">2 </w:t>
      </w:r>
      <w:r>
        <w:t xml:space="preserve">, Safira Indrianti </w:t>
      </w:r>
      <w:r>
        <w:rPr>
          <w:vertAlign w:val="superscript"/>
        </w:rPr>
        <w:t xml:space="preserve">3 </w:t>
      </w:r>
      <w:r>
        <w:t xml:space="preserve">, Septia Rimadhona </w:t>
      </w:r>
      <w:r>
        <w:rPr>
          <w:vertAlign w:val="superscript"/>
        </w:rPr>
        <w:t>4</w:t>
      </w:r>
    </w:p>
    <w:p w14:paraId="7EBE88EE" w14:textId="5943CC71" w:rsidR="001C294C" w:rsidRDefault="003169EA" w:rsidP="003169EA">
      <w:pPr>
        <w:spacing w:before="7" w:line="247" w:lineRule="auto"/>
        <w:ind w:left="5" w:right="1"/>
        <w:jc w:val="center"/>
        <w:rPr>
          <w:rFonts w:ascii="Calibri"/>
          <w:sz w:val="24"/>
        </w:rPr>
      </w:pPr>
      <w:hyperlink r:id="rId6" w:history="1">
        <w:r w:rsidRPr="00312A84">
          <w:rPr>
            <w:rStyle w:val="Hyperlink"/>
            <w:i/>
            <w:sz w:val="24"/>
          </w:rPr>
          <w:t xml:space="preserve">ditaagustin5245@gmail.com </w:t>
        </w:r>
      </w:hyperlink>
      <w:hyperlink r:id="rId7" w:history="1">
        <w:r w:rsidRPr="00312A84">
          <w:rPr>
            <w:rStyle w:val="Hyperlink"/>
            <w:rFonts w:ascii="Calibri"/>
            <w:sz w:val="24"/>
            <w:vertAlign w:val="superscript"/>
          </w:rPr>
          <w:t xml:space="preserve">1 </w:t>
        </w:r>
      </w:hyperlink>
      <w:r>
        <w:rPr>
          <w:i/>
          <w:sz w:val="24"/>
        </w:rPr>
        <w:t>,</w:t>
      </w:r>
      <w:r>
        <w:rPr>
          <w:i/>
          <w:spacing w:val="-15"/>
          <w:sz w:val="24"/>
        </w:rPr>
        <w:t xml:space="preserve"> </w:t>
      </w:r>
      <w:hyperlink r:id="rId8">
        <w:r>
          <w:rPr>
            <w:i/>
            <w:color w:val="0462C1"/>
            <w:sz w:val="24"/>
            <w:u w:val="single" w:color="0462C1"/>
          </w:rPr>
          <w:t xml:space="preserve">elichaaputrielga@gmail.com </w:t>
        </w:r>
      </w:hyperlink>
      <w:hyperlink r:id="rId9">
        <w:r>
          <w:rPr>
            <w:rFonts w:ascii="Calibri"/>
            <w:sz w:val="24"/>
            <w:vertAlign w:val="superscript"/>
          </w:rPr>
          <w:t xml:space="preserve">2 </w:t>
        </w:r>
      </w:hyperlink>
      <w:r>
        <w:rPr>
          <w:i/>
          <w:sz w:val="24"/>
        </w:rPr>
        <w:t xml:space="preserve">, </w:t>
      </w:r>
      <w:hyperlink r:id="rId10">
        <w:r>
          <w:rPr>
            <w:i/>
            <w:color w:val="0462C1"/>
            <w:sz w:val="24"/>
            <w:u w:val="single" w:color="0462C1"/>
          </w:rPr>
          <w:t xml:space="preserve">safiraindrianti71@gmail.com </w:t>
        </w:r>
      </w:hyperlink>
      <w:hyperlink r:id="rId11">
        <w:r>
          <w:rPr>
            <w:rFonts w:ascii="Calibri"/>
            <w:sz w:val="24"/>
            <w:vertAlign w:val="superscript"/>
          </w:rPr>
          <w:t xml:space="preserve">3 </w:t>
        </w:r>
      </w:hyperlink>
      <w:r>
        <w:rPr>
          <w:i/>
          <w:sz w:val="24"/>
        </w:rPr>
        <w:t xml:space="preserve">, </w:t>
      </w:r>
      <w:hyperlink r:id="rId12">
        <w:r>
          <w:rPr>
            <w:i/>
            <w:color w:val="0462C1"/>
            <w:sz w:val="24"/>
            <w:u w:val="single" w:color="0462C1"/>
          </w:rPr>
          <w:t xml:space="preserve">septiarimadhona4@gmail.com </w:t>
        </w:r>
      </w:hyperlink>
      <w:hyperlink r:id="rId13">
        <w:r>
          <w:rPr>
            <w:rFonts w:ascii="Calibri"/>
            <w:sz w:val="24"/>
            <w:vertAlign w:val="superscript"/>
          </w:rPr>
          <w:t>4</w:t>
        </w:r>
      </w:hyperlink>
    </w:p>
    <w:p w14:paraId="6E98149C" w14:textId="4AC19AEB" w:rsidR="001C294C" w:rsidRDefault="003169EA" w:rsidP="003D3173">
      <w:pPr>
        <w:pStyle w:val="BodyText"/>
        <w:spacing w:before="160" w:line="259" w:lineRule="auto"/>
        <w:ind w:left="5"/>
        <w:jc w:val="both"/>
      </w:pPr>
      <w:r w:rsidRPr="003169EA">
        <w:rPr>
          <w:vertAlign w:val="superscript"/>
        </w:rPr>
        <w:t xml:space="preserve">1234 </w:t>
      </w:r>
      <w:r>
        <w:t>Faculties</w:t>
      </w:r>
      <w:r>
        <w:rPr>
          <w:spacing w:val="-3"/>
        </w:rPr>
        <w:t xml:space="preserve"> </w:t>
      </w:r>
      <w:r>
        <w:t>Economy</w:t>
      </w:r>
      <w:r>
        <w:rPr>
          <w:spacing w:val="-9"/>
        </w:rPr>
        <w:t xml:space="preserve"> </w:t>
      </w:r>
      <w:r>
        <w:t>And</w:t>
      </w:r>
      <w:r>
        <w:rPr>
          <w:spacing w:val="-5"/>
        </w:rPr>
        <w:t xml:space="preserve"> </w:t>
      </w:r>
      <w:r>
        <w:t>Business</w:t>
      </w:r>
      <w:r>
        <w:rPr>
          <w:spacing w:val="-3"/>
        </w:rPr>
        <w:t xml:space="preserve"> </w:t>
      </w:r>
      <w:r>
        <w:t>Islam, University</w:t>
      </w:r>
      <w:r>
        <w:rPr>
          <w:spacing w:val="-3"/>
        </w:rPr>
        <w:t xml:space="preserve"> </w:t>
      </w:r>
      <w:r>
        <w:t>Islamic State of Raden Intan Lampung, Indonesia</w:t>
      </w:r>
    </w:p>
    <w:p w14:paraId="5B5B9224" w14:textId="77777777" w:rsidR="001C294C" w:rsidRDefault="001C294C" w:rsidP="003D3173">
      <w:pPr>
        <w:pStyle w:val="BodyText"/>
        <w:ind w:left="0"/>
        <w:jc w:val="both"/>
      </w:pPr>
    </w:p>
    <w:p w14:paraId="63025774" w14:textId="77777777" w:rsidR="001C294C" w:rsidRDefault="001C294C" w:rsidP="003D3173">
      <w:pPr>
        <w:pStyle w:val="BodyText"/>
        <w:spacing w:before="71"/>
        <w:ind w:left="0"/>
        <w:jc w:val="both"/>
      </w:pPr>
    </w:p>
    <w:p w14:paraId="30F28382" w14:textId="77777777" w:rsidR="003D3173" w:rsidRPr="003169EA" w:rsidRDefault="003D3173" w:rsidP="003D3173">
      <w:pPr>
        <w:widowControl/>
        <w:autoSpaceDE/>
        <w:autoSpaceDN/>
        <w:spacing w:before="100" w:beforeAutospacing="1" w:after="100" w:afterAutospacing="1"/>
        <w:jc w:val="both"/>
        <w:outlineLvl w:val="1"/>
        <w:rPr>
          <w:b/>
          <w:bCs/>
          <w:sz w:val="24"/>
          <w:szCs w:val="24"/>
          <w:lang w:val="en-ID" w:eastAsia="en-ID"/>
        </w:rPr>
      </w:pPr>
      <w:r w:rsidRPr="003169EA">
        <w:rPr>
          <w:b/>
          <w:bCs/>
          <w:sz w:val="24"/>
          <w:szCs w:val="24"/>
          <w:lang w:val="en-ID" w:eastAsia="en-ID"/>
        </w:rPr>
        <w:t>Abstract</w:t>
      </w:r>
    </w:p>
    <w:p w14:paraId="62ABD13D" w14:textId="77777777" w:rsidR="003D3173" w:rsidRPr="003D3173" w:rsidRDefault="003D3173" w:rsidP="003D3173">
      <w:pPr>
        <w:widowControl/>
        <w:autoSpaceDE/>
        <w:autoSpaceDN/>
        <w:spacing w:before="100" w:beforeAutospacing="1" w:after="100" w:afterAutospacing="1"/>
        <w:jc w:val="both"/>
        <w:rPr>
          <w:i/>
          <w:iCs/>
          <w:sz w:val="24"/>
          <w:szCs w:val="24"/>
          <w:lang w:val="en-ID" w:eastAsia="en-ID"/>
        </w:rPr>
      </w:pPr>
      <w:r w:rsidRPr="003D3173">
        <w:rPr>
          <w:i/>
          <w:iCs/>
          <w:sz w:val="24"/>
          <w:szCs w:val="24"/>
          <w:lang w:val="en-ID" w:eastAsia="en-ID"/>
        </w:rPr>
        <w:t>Economic stability is the primary objective of the Islamic economic system because it is directly related to the protection of welfare, distributive justice, sustainable growth, and the prevention of social damage caused by poverty, inflation, inequality, and financial crises. This article discusses the role of fiscal and monetary policies in realizing Islamic economic stability by placing the principles of maqāṣid al-sharī'ah, the prohibition of usury, justice, social responsibility, and the relationship between the financial sector and the real sector as the main analytical framework. The research method used is a literature study with a qualitative descriptive-analytical approach to academic literature, journal articles, scientific books, and the results of recent research on zakat, waqf, sukuk, Islamic banking, financial stability, and the transmission of monetary policy in the Islamic financial system. The results of the discussion show that Islamic fiscal policy works not only through taxes and state spending, but also through instruments of zakat, infaq, sedekah, waqf, and public asset management that aim to strengthen the purchasing power of vulnerable groups, reduce inequality, and maintain aggregate demand. Meanwhile, Islamic monetary policy is aimed at maintaining the stability of the value of money, controlling liquidity, encouraging productive financing, and avoiding excessive speculation. Synergy between the two is necessary so that economic stability is not only defined as low inflation and positive growth, but also as achieving social justice, financial inclusion, balance between the real and financial sectors, and sustainable public welfare.</w:t>
      </w:r>
    </w:p>
    <w:p w14:paraId="74870825"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b/>
          <w:bCs/>
          <w:sz w:val="24"/>
          <w:szCs w:val="24"/>
          <w:lang w:val="en-ID" w:eastAsia="en-ID"/>
        </w:rPr>
        <w:t xml:space="preserve">Keywords: </w:t>
      </w:r>
      <w:r w:rsidRPr="003D3173">
        <w:rPr>
          <w:sz w:val="24"/>
          <w:szCs w:val="24"/>
          <w:lang w:val="en-ID" w:eastAsia="en-ID"/>
        </w:rPr>
        <w:t>Islamic fiscal policy, Islamic monetary policy, economic stability, zakat, waqf, sukuk, maqāṣid al-sharī'ah.</w:t>
      </w:r>
    </w:p>
    <w:p w14:paraId="7B505E5C" w14:textId="77777777" w:rsidR="003D3173" w:rsidRPr="003169EA" w:rsidRDefault="003D3173" w:rsidP="003D3173">
      <w:pPr>
        <w:widowControl/>
        <w:autoSpaceDE/>
        <w:autoSpaceDN/>
        <w:spacing w:before="100" w:beforeAutospacing="1" w:after="100" w:afterAutospacing="1"/>
        <w:jc w:val="both"/>
        <w:outlineLvl w:val="1"/>
        <w:rPr>
          <w:b/>
          <w:bCs/>
          <w:sz w:val="24"/>
          <w:szCs w:val="24"/>
          <w:lang w:val="en-ID" w:eastAsia="en-ID"/>
        </w:rPr>
      </w:pPr>
      <w:r w:rsidRPr="003169EA">
        <w:rPr>
          <w:b/>
          <w:bCs/>
          <w:sz w:val="24"/>
          <w:szCs w:val="24"/>
          <w:lang w:val="en-ID" w:eastAsia="en-ID"/>
        </w:rPr>
        <w:t>Introduction</w:t>
      </w:r>
    </w:p>
    <w:p w14:paraId="5540F76A"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Economic stability is a fundamental goal of modern economic development. Conventionally, economic stability is generally measured through indicators such as gross domestic product growth, controlled inflation, low unemployment, exchange rate stability, fiscal sustainability, and a healthy financial system. However, from an Islamic economic perspective, economic stability encompasses a broader scope. Stability encompasses not only controlled macroeconomic fluctuations but also the creation of distributive justice, protection for vulnerable groups, the sustainability of production activities, and the maintenance of public welfare. Therefore, Islamic economic stability is inseparable from the principle of maqāṣid al-sharī'ah (the protection of religion, life, intellect, lineage, and property). A stable economy in Islam is one that maintains the value of assets, prevents the accumulation of wealth in certain groups, connects financial activities with the real sector, and ensures that public policies are directed towards the general welfare, not merely statistical growth.</w:t>
      </w:r>
    </w:p>
    <w:p w14:paraId="3860916C"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lastRenderedPageBreak/>
        <w:t>In this context, fiscal and monetary policies play a crucial role. Fiscal policy relates to how the state manages public revenue and expenditure to influence economic activity. In Islamic economics, fiscal policy stems not only from taxes and state spending, but also from specific instruments such as zakat, infaq, sadaqah, waqf, kharāj, 'ushr, jizyah (in historical context), and the trustworthy management of public wealth. Zakat, for example, is not merely an individual act of worship but also a redistributive instrument with the potential to maintain consumption by the mustahik (beneficiary), strengthen aggregate demand, and reduce poverty. Several studies have shown that zakat can contribute to growth and poverty reduction when managed institutionally, productively, and integrated with development policies (Ben Jedidia &amp; Guerbouj, 2021; Gunawan et al., 2025; Huda et al., 2025; Kasri et al., 2025). Waqf also has the potential as a source of long-term social financing because of its sustainable nature and can be directed towards education, health, social infrastructure, and community economic empowerment (Abdullah, 2018; Shaikh et al., 2017).</w:t>
      </w:r>
    </w:p>
    <w:p w14:paraId="6BB7B5FF"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Meanwhile, monetary policy is concerned with managing the money supply, liquidity, financing, the value of money, and the stability of the financial system. In conventional systems, the primary instrument of monetary policy often centers on the interest rate. Islamic economics is fundamentally different because it prohibits usury (riba) and rejects profits obtained without linkage to risk, assets, and productive activities. Therefore, Islamic monetary policy needs to be designed with Sharia-compliant instruments, such as sukuk-based open market operations, mandatory reserve management, Sharia-compliant liquidity facilities, profit-sharing instruments, and real-sector-oriented financing arrangements. The main principles of Islamic monetary policy are to maintain the value of money against inflation, prevent speculative credit expansion, and ensure liquidity flows to productive, halal, and beneficial activities. Several studies have shown that the Islamic banking system has certain stability characteristics, mainly due to its linkage to real assets, restrictions on speculation, and the principle of risk sharing, although empirical evidence also shows that the stability of Islamic banks remains dependent on bank size, governance, liquidity, capitalization, and macroeconomic conditions (Abedifar et al., 2013; Beck et al., 2013; Bourkhis &amp; Nabi, 2013; Čihák &amp; Hesse, 2010; Pappas et al., 2017).</w:t>
      </w:r>
    </w:p>
    <w:p w14:paraId="01CDE8B5"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A major problem that frequently arises in the implementation of Islamic fiscal and monetary policies is the suboptimal integration of sharia instruments with modern public policy systems. In many Muslim countries, zakat and waqf still operate parallel to the state fiscal system, rather than as a truly integrated part of the national economic stabilization strategy. As a result, zakat's potential as an automatic stabilizer is not maximized. During crises, zakat should strengthen the social safety net and maintain consumption among the poor, but limitations in mustahik data, institutional coordination, public literacy, and governance prevent this role from being fully effective. Similarly, productive waqf still faces challenges in regulation, nazir professionalism, transparency, and sustainable business models. Yet, waqf can be a social development financing instrument that reduces pressure on state spending and strengthens long-term stability.</w:t>
      </w:r>
    </w:p>
    <w:p w14:paraId="53651EFA"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On the monetary side, challenges arise because many countries implement a dual financial system, with Islamic banking operating alongside conventional banking. In such a system, monetary policy transmission is often still influenced by conventional interest rates. Islamic banks, although not principally interest-bearing, can still be impacted by changes in market interest rates, inflation expectations, exchange rates, and conventional liquidity conditions. Therefore, the development of liquid, credible Islamic monetary instruments compatible with financial system stability is an urgent need. Sovereign sukuk, for example, can be used not only as a fiscal financing instrument but also as an instrument for Islamic monetary operations. The development of a healthy sukuk market can deepen the Islamic financial market, provide liquidity for Islamic banks, and strengthen the link between fiscal and monetary policy (Said &amp; Grassa, 2013; Smaoui &amp; Nechi, 2017).</w:t>
      </w:r>
    </w:p>
    <w:p w14:paraId="696231A4"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lastRenderedPageBreak/>
        <w:t>Based on this background, this article aims to analyze the role of fiscal and monetary policies in achieving Islamic economic stability. It also explains how Islamic fiscal instruments such as zakat, waqf, and public spending can interact with Islamic monetary policies such as liquidity control, Islamic financing, and financial system stability. The discussion is directed at the argument that Islamic economic stability can only be achieved if fiscal and monetary policies are not implemented separately but are coordinated within the framework of maqāṣid al-sharī'ah (obligatory principles of Islamic law), distributive justice, fiscal discipline, price stability, and real sector financing.</w:t>
      </w:r>
    </w:p>
    <w:p w14:paraId="771742BB" w14:textId="77777777" w:rsidR="003D3173" w:rsidRPr="003D3173" w:rsidRDefault="003D3173" w:rsidP="003D3173">
      <w:pPr>
        <w:widowControl/>
        <w:autoSpaceDE/>
        <w:autoSpaceDN/>
        <w:spacing w:before="100" w:beforeAutospacing="1" w:after="100" w:afterAutospacing="1"/>
        <w:jc w:val="both"/>
        <w:outlineLvl w:val="1"/>
        <w:rPr>
          <w:b/>
          <w:bCs/>
          <w:sz w:val="24"/>
          <w:szCs w:val="24"/>
          <w:lang w:val="en-ID" w:eastAsia="en-ID"/>
        </w:rPr>
      </w:pPr>
      <w:r w:rsidRPr="003D3173">
        <w:rPr>
          <w:b/>
          <w:bCs/>
          <w:sz w:val="24"/>
          <w:szCs w:val="24"/>
          <w:lang w:val="en-ID" w:eastAsia="en-ID"/>
        </w:rPr>
        <w:t>Research methods</w:t>
      </w:r>
    </w:p>
    <w:p w14:paraId="5267FE30"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This study uses a qualitative method with a library research approach. This approach was chosen because the focus of the article is to understand, analyze, and synthesize concepts, theories, and empirical findings regarding the role of fiscal and monetary policy in achieving Islamic economic stability. The library study allows researchers to explore various relevant scientific sources, including international journal articles and national journal articles, academic books, book chapters, and empirical research results that discuss Islamic banking stability, Islamic fiscal instruments, zakat, waqf, sukuk, monetary policy transmission, and maqāṣid al-sharī'ah.</w:t>
      </w:r>
    </w:p>
    <w:p w14:paraId="7A8F53D2"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The data sources used in this study are secondary data. Secondary data were obtained from scientific publications with DOI (Domain Information Index), primarily journal articles discussing Islamic economics, Islamic finance, fiscal policy, monetary policy, Islamic banking, financial stability, zakat, waqf, and sukuk. References were selected based on topic relevance, publisher quality, relevance to economic stability issues, and DOI availability. The literature used encompasses both classical and recent research. Classical literature is needed to explain the theoretical foundations of Islamic economics, while recent literature is used to demonstrate empirical developments and contemporary challenges in Islamic fiscal and monetary policy.</w:t>
      </w:r>
    </w:p>
    <w:p w14:paraId="678F9E11"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The analysis technique used is descriptive-analytical analysis. First, the author identifies the main concepts related to Islamic economic stability, namely maqāṣid al-sharī'ah, distributive justice, the prohibition of usury, the linkage of the financial sector with the real sector, and protection of vulnerable groups. Second, the author groups Islamic fiscal policy instruments into several categories, namely redistribution instruments such as zakat, philanthropic instruments such as infaq and sedekah, social asset instruments such as waqf, and state instruments such as taxes, public spending, and sukuk. Third, the author groups Islamic monetary policy instruments into aspects of liquidity control, profit-sharing-based financing, Islamic money market instruments, sukuk-based monetary operations, and Islamic banking stability. Fourth, the author analyzes the relationship between fiscal and monetary policies in shaping Islamic economic stability.</w:t>
      </w:r>
    </w:p>
    <w:p w14:paraId="0BAFD8E8"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The validity of the analysis is maintained through triangulation of literature sources. This means that conclusions are not based solely on a single source but are compared with various conceptual and empirical studies. For example, the role of zakat in economic stability is analyzed by referring to studies on zakat and economic growth, zakat and poverty, and zakat as a fiscal instrument. Meanwhile, Islamic monetary stability is analyzed by comparing studies on Islamic banking stability, systemic risk, the sukuk market, and monetary policy transmission in a dual financial system. In this way, the article not only presents normative ideas but also considers empirical evidence and implementation challenges.</w:t>
      </w:r>
    </w:p>
    <w:p w14:paraId="7420F0E1" w14:textId="77777777" w:rsidR="003D3173" w:rsidRPr="003D3173" w:rsidRDefault="003D3173" w:rsidP="003D3173">
      <w:pPr>
        <w:widowControl/>
        <w:autoSpaceDE/>
        <w:autoSpaceDN/>
        <w:spacing w:before="100" w:beforeAutospacing="1" w:after="100" w:afterAutospacing="1"/>
        <w:jc w:val="both"/>
        <w:outlineLvl w:val="1"/>
        <w:rPr>
          <w:b/>
          <w:bCs/>
          <w:sz w:val="24"/>
          <w:szCs w:val="24"/>
          <w:lang w:val="en-ID" w:eastAsia="en-ID"/>
        </w:rPr>
      </w:pPr>
      <w:r w:rsidRPr="003D3173">
        <w:rPr>
          <w:b/>
          <w:bCs/>
          <w:sz w:val="24"/>
          <w:szCs w:val="24"/>
          <w:lang w:val="en-ID" w:eastAsia="en-ID"/>
        </w:rPr>
        <w:t>Results and Discussion</w:t>
      </w:r>
    </w:p>
    <w:p w14:paraId="2EC5D536" w14:textId="77777777" w:rsidR="003D3173" w:rsidRPr="003D3173" w:rsidRDefault="003D3173" w:rsidP="003D3173">
      <w:pPr>
        <w:widowControl/>
        <w:autoSpaceDE/>
        <w:autoSpaceDN/>
        <w:spacing w:before="100" w:beforeAutospacing="1" w:after="100" w:afterAutospacing="1"/>
        <w:jc w:val="both"/>
        <w:outlineLvl w:val="2"/>
        <w:rPr>
          <w:b/>
          <w:bCs/>
          <w:sz w:val="24"/>
          <w:szCs w:val="24"/>
          <w:lang w:val="en-ID" w:eastAsia="en-ID"/>
        </w:rPr>
      </w:pPr>
      <w:r w:rsidRPr="003D3173">
        <w:rPr>
          <w:b/>
          <w:bCs/>
          <w:sz w:val="24"/>
          <w:szCs w:val="24"/>
          <w:lang w:val="en-ID" w:eastAsia="en-ID"/>
        </w:rPr>
        <w:t>1. The Concept of Economic Stability from an Islamic Perspective</w:t>
      </w:r>
    </w:p>
    <w:p w14:paraId="76913AA0"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lastRenderedPageBreak/>
        <w:t>Economic stability from an Islamic perspective cannot be understood solely through macroeconomic indicators such as low inflation, positive economic growth, and a controlled fiscal deficit. Islam views the economy as part of a moral and social order aimed at creating welfare. Therefore, Islamic economic stability must encompass both material and spiritual dimensions. Material stability is reflected in the availability of basic necessities, low poverty, controlled prices, employment, and the healthy functioning of financial institutions. Spiritual and moral stability are reflected in fair transactions, the prohibition of exploitation, honesty in markets, trustworthiness in wealth management, and a public policy orientation toward the welfare of the people.</w:t>
      </w:r>
    </w:p>
    <w:p w14:paraId="3C830D4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Maqāṣid al-sharī'ah is an important foundation for understanding Islamic economic stability. Protecting wealth not only means safeguarding individual ownership but also ensuring that wealth is not acquired through wrongful means and does not circulate only among the wealthy. This principle provides the basis for redistribution policies through zakat, infaq, sadaqah, waqf, and state social spending. Protecting the soul relates to the provision of basic needs, health, food, and protection from extreme poverty. Protecting the mind relates to education and economic literacy. Protecting offspring relates to the sustainability of family well-being. Thus, Islamic economic stability is always linked to multidimensional well-being.</w:t>
      </w:r>
    </w:p>
    <w:p w14:paraId="0AA22283"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In an Islamic economic system, instability can stem from several factors. First, extreme inequality in wealth distribution can weaken aggregate demand, increase social jealousy, and hinder economic mobility. Second, speculation and transactions not based on real assets can create financial bubbles. Third, usury practices can create an imbalanced debt burden between capital owners and business actors. Fourth, weak fiscal governance can lead to waste, corruption, and unproductive spending. Fifth, weak monetary stability can trigger inflation, currency depreciation, and investment uncertainty.</w:t>
      </w:r>
    </w:p>
    <w:p w14:paraId="09129F69"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Therefore, Islamic economic stability requires synergy between fiscal and monetary policies. Fiscal policy plays a role in strengthening distribution, providing public goods, protecting vulnerable groups, and encouraging productive activity. Monetary policy plays a role in maintaining the value of money, regulating liquidity, strengthening financial intermediation, and controlling systemic risk. If fiscal policy is too expansionary without discipline, inflation and financing burdens can increase. If monetary policy is too tight without considering the real sector, productive financing can weaken. In an Islamic economy, coordination between the two must be aimed at balancing price stability, distributive justice, and productive growth.</w:t>
      </w:r>
    </w:p>
    <w:p w14:paraId="2A7A2BE1" w14:textId="77777777" w:rsidR="003D3173" w:rsidRPr="003D3173" w:rsidRDefault="003D3173" w:rsidP="003D3173">
      <w:pPr>
        <w:widowControl/>
        <w:autoSpaceDE/>
        <w:autoSpaceDN/>
        <w:spacing w:before="100" w:beforeAutospacing="1" w:after="100" w:afterAutospacing="1"/>
        <w:jc w:val="both"/>
        <w:outlineLvl w:val="2"/>
        <w:rPr>
          <w:b/>
          <w:bCs/>
          <w:sz w:val="24"/>
          <w:szCs w:val="24"/>
          <w:lang w:val="en-ID" w:eastAsia="en-ID"/>
        </w:rPr>
      </w:pPr>
      <w:r w:rsidRPr="003D3173">
        <w:rPr>
          <w:b/>
          <w:bCs/>
          <w:sz w:val="27"/>
          <w:szCs w:val="27"/>
          <w:lang w:val="en-ID" w:eastAsia="en-ID"/>
        </w:rPr>
        <w:t xml:space="preserve">2. </w:t>
      </w:r>
      <w:r w:rsidRPr="003D3173">
        <w:rPr>
          <w:b/>
          <w:bCs/>
          <w:sz w:val="24"/>
          <w:szCs w:val="24"/>
          <w:lang w:val="en-ID" w:eastAsia="en-ID"/>
        </w:rPr>
        <w:t>The Role of Islamic Fiscal Policy in Economic Stability</w:t>
      </w:r>
    </w:p>
    <w:p w14:paraId="2BF21B13"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Islamic fiscal policy differs from conventional fiscal policy in that it relies more than solely on tax revenue and state spending. Historically, fiscal policy has been closely linked to the Baitul Māl (Islamic treasury) institution, which manages public revenue and distributes it for the benefit of society. Instruments such as zakat, kharāj, jizyah, 'ushr, ghanīmah, fai', waqf, and sadaqah have strong socio-economic functions. In the context of the modern state, not all historical instruments are applied in the same way, but their core values remain relevant: justice, redistribution, productivity, and community protection.</w:t>
      </w:r>
    </w:p>
    <w:p w14:paraId="0205748F"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Zakat is the most important Islamic fiscal instrument. It is obligatory for eligible Muslims and is directed to specific recipient groups. From a macroeconomic perspective, zakat acts as a relatively automatic redistribution mechanism. As income and wealth increase, the potential for zakat also increases. These funds are then channeled to the mustahik (recipients of zakat), who tend to have a higher marginal propensity to consume. This means that zakat funds received by the poor are more likely to be immediately used for basic necessities. This can maintain aggregate demand, especially during times of economic downturn. Studies on zakat and growth show that zakat can contribute to </w:t>
      </w:r>
      <w:r w:rsidRPr="003D3173">
        <w:rPr>
          <w:sz w:val="24"/>
          <w:szCs w:val="24"/>
          <w:lang w:val="en-ID" w:eastAsia="en-ID"/>
        </w:rPr>
        <w:lastRenderedPageBreak/>
        <w:t>growth and poverty reduction if its distribution is effective and directed not only toward consumption but also toward productive empowerment (Ben Jedidia &amp; Guerbouj, 2021; Gunawan et al., 2025; Kasri et al., 2025).</w:t>
      </w:r>
    </w:p>
    <w:p w14:paraId="26553E75"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Besides being an instrument of redistribution, zakat can also function as an automatic stabilizer. In conventional economics, automatic stabilizers operate through progressive taxation and social transfers. In Islam, zakat can serve a similar function if its collection and distribution are organized. When the economy grows, zakat collection increases and can prevent the concentration of wealth. When the economy declines, zakat distribution can bolster the purchasing power of the poor. However, this function can only be optimal if zakat institutions have a strong database, transparent governance, and coordination with state poverty alleviation programs. Without it, zakat becomes little more than fragmented charitable assistance.</w:t>
      </w:r>
    </w:p>
    <w:p w14:paraId="2F49E44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Waqf also plays a crucial role in long-term fiscal stability. Unlike zakat, which is a periodic transfer, waqf is a sustainable asset. Waqf assets can be used to finance education, hospitals, clean water facilities, social housing, and business empowerment. Abdullah (2018) explains that waqf is linked to sustainable development goals and the maqāṣid al-sharī'ah (obligatory objectives of Islamic law). From an economic stability perspective, waqf can reduce the state's fiscal burden because some public needs can be met through social assets. Productive waqf can also create a long-term source of income that can be used for social programs. In the long term, waqf has the potential to strengthen human capital through financing education and health.</w:t>
      </w:r>
    </w:p>
    <w:p w14:paraId="40C827A1"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However, the potential of waqf is often not optimal due to governance issues. Many waqf assets are unproductive, lack strong legal certification, or are managed traditionally. To make waqf an instrument of economic stability, professionalization of nazirs, transparency of reporting, innovation in cash waqf, integration with Islamic financial institutions, and development of economically viable projects are required. Shaikh et al. (2017) emphasize that waqf can be used as an instrument for social and development financing if managed with an appropriate institutional model. Therefore, Islamic fiscal policy must encourage the transformation of waqf from passive assets to productive assets.</w:t>
      </w:r>
    </w:p>
    <w:p w14:paraId="59A5142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Public spending in Islamic economics also has a stabilizing function. The state is obliged to ensure that the basic needs of the people are met. Public spending should be directed to sectors with broad impacts, such as education, health, basic infrastructure, food security, and economic empowerment. In Islam, state spending must be carried out in a trustworthy manner and avoid isrāf, or waste. Fiscal discipline is not only a technical budget issue but also an ethical one. A budget deficit financed unproductively can burden future generations and contradict the principle of intergenerational justice. Therefore, Islamic fiscal policy must maintain a balance between economic stimulus and fiscal sustainability.</w:t>
      </w:r>
    </w:p>
    <w:p w14:paraId="2D0396CE"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Sovereign sukuk can bridge the gap between fiscal and monetary policies. From a fiscal perspective, sukuk can be used to finance infrastructure and development projects. From a monetary perspective, sukuk can serve as an instrument for Islamic open market operations and liquidity management in Islamic banks. Sukuk's advantage lies in its linkage to real assets or projects, making it more in line with Islamic economic principles than interest-bearing bonds. Said and Grassa (2013) and Smaoui and Nechi (2017) demonstrate that sukuk market development is linked to development financing and economic growth. However, sukuk must be designed to not merely mimic conventional bonds in substance. Sukuk structures should reflect beneficial ownership of assets, fair risk sharing, and transparency in the use of funds.</w:t>
      </w:r>
    </w:p>
    <w:p w14:paraId="7DBD26DD" w14:textId="77777777" w:rsidR="003D3173" w:rsidRPr="003D3173" w:rsidRDefault="003D3173" w:rsidP="003D3173">
      <w:pPr>
        <w:widowControl/>
        <w:autoSpaceDE/>
        <w:autoSpaceDN/>
        <w:spacing w:before="100" w:beforeAutospacing="1" w:after="100" w:afterAutospacing="1"/>
        <w:jc w:val="both"/>
        <w:outlineLvl w:val="2"/>
        <w:rPr>
          <w:b/>
          <w:bCs/>
          <w:sz w:val="24"/>
          <w:szCs w:val="24"/>
          <w:lang w:val="en-ID" w:eastAsia="en-ID"/>
        </w:rPr>
      </w:pPr>
      <w:r w:rsidRPr="003D3173">
        <w:rPr>
          <w:b/>
          <w:bCs/>
          <w:sz w:val="24"/>
          <w:szCs w:val="24"/>
          <w:lang w:val="en-ID" w:eastAsia="en-ID"/>
        </w:rPr>
        <w:t>3. The Role of Islamic Monetary Policy in Economic Stability</w:t>
      </w:r>
    </w:p>
    <w:p w14:paraId="5C88D7CE"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lastRenderedPageBreak/>
        <w:t>Islamic monetary policy aims to maintain the stability of the value of money, control liquidity, encourage productive financing, and maintain financial system stability without the use of usury-based instruments. In conventional systems, interest rates are the primary instrument influencing consumption, investment, savings, and aggregate demand. In Islam, the use of interest as a price for money is rejected because usury is seen as creating injustice and separating financial gain from business risk. Therefore, Islamic monetary policy must use instruments that comply with Sharia principles.</w:t>
      </w:r>
    </w:p>
    <w:p w14:paraId="08CBECD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One of the key principles of Islamic monetary policy is the link between money and the real sector. Money is not viewed as a commodity capable of generating profits on its own, but rather as a medium of exchange, a unit of account, and a store of value. Legitimate profits should come from risky trade, investment, rental, or business partnerships. Therefore, monetary expansion should be directed so as not to encourage speculation but to strengthen production and trade. If the money supply grows faster than real output, inflation can increase. If liquidity circulates solely in the financial sector without affecting the production sector, stability becomes fragile.</w:t>
      </w:r>
    </w:p>
    <w:p w14:paraId="124A3A12"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Islamic monetary instruments can include sharia-compliant minimum reserves, sharia-compliant liquidity facilities, open market operations using sukuk (Islamic bonds), sharia-compliant central bank certificates, mudharabah and musharakah-based financing, and financing ratio regulation. These instruments aim to regulate interest-free liquidity. In practice, central banks in countries with dual financial systems need to provide sufficiently liquid sharia-compliant monetary instruments to enable sharia banks to manage funds efficiently. If sharia-compliant instruments are limited, sharia banks may face higher liquidity risks than conventional banks.</w:t>
      </w:r>
    </w:p>
    <w:p w14:paraId="44A273F8"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The stability of Islamic banks is an important component of Islamic monetary stability. Several studies have shown that Islamic banks have different stability characteristics than conventional banks. Čihák and Hesse (2010) found that small Islamic banks tend to be financially stronger than small commercial banks, but large Islamic banks can face risk management challenges. Beck et al. (2013) showed that Islamic banks have relatively good asset quality and capitalization, although cost efficiency can be a challenge. Abedifar et al. (2013) found that small Islamic banks have lower credit risk and insolvency risk under certain conditions. However, Bourkhis and Nabi (2013) showed that during the 2007–2008 crisis, there was not always a significant difference between the resilience of Islamic and conventional banks. These findings suggest that the stability of Islamic banks is not an automatic result of the Islamic label, but depends on governance, size, capitalization, liquidity, risk management, and regulatory quality.</w:t>
      </w:r>
    </w:p>
    <w:p w14:paraId="2747CA1C"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Islamic monetary policy must also address systemic risk. Rizwan et al. (2022) showed that the COVID-19 pandemic has put pressure on the systemic risk of Islamic banks. This suggests that Islamic banks remain vulnerable to global shocks, particularly if they have high exposure to certain sectors, liquidity risks, or governance weaknesses. Therefore, central banks and financial authorities need to strengthen the Islamic macroprudential framework. Macroprudential regulations can include capital buffers, liquidity supervision, stress testing, restrictions on financing concentration, and strengthening Islamic governance.</w:t>
      </w:r>
    </w:p>
    <w:p w14:paraId="082165EC"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In Islamic economics, price stability is also a crucial objective. High inflation destroys the value of money and reduces people's purchasing power, especially the poor. Inflation can also undermine equity, as fixed-income groups are more severely impacted than asset owners. Therefore, Islamic monetary policy must maintain money growth in line with real output growth. However, inflation control must not be carried out in a way that unduly weakens the productive sector. A balance is needed between price stability and support for business financing.</w:t>
      </w:r>
    </w:p>
    <w:p w14:paraId="044FC8BC" w14:textId="77777777" w:rsidR="003D3173" w:rsidRPr="003D3173" w:rsidRDefault="003D3173" w:rsidP="003D3173">
      <w:pPr>
        <w:widowControl/>
        <w:autoSpaceDE/>
        <w:autoSpaceDN/>
        <w:spacing w:before="100" w:beforeAutospacing="1" w:after="100" w:afterAutospacing="1"/>
        <w:jc w:val="both"/>
        <w:outlineLvl w:val="2"/>
        <w:rPr>
          <w:b/>
          <w:bCs/>
          <w:sz w:val="24"/>
          <w:szCs w:val="24"/>
          <w:lang w:val="en-ID" w:eastAsia="en-ID"/>
        </w:rPr>
      </w:pPr>
      <w:r w:rsidRPr="003D3173">
        <w:rPr>
          <w:b/>
          <w:bCs/>
          <w:sz w:val="24"/>
          <w:szCs w:val="24"/>
          <w:lang w:val="en-ID" w:eastAsia="en-ID"/>
        </w:rPr>
        <w:t>4. Synergy of Fiscal and Monetary Policy in Islamic Economics</w:t>
      </w:r>
    </w:p>
    <w:p w14:paraId="03D4780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lastRenderedPageBreak/>
        <w:t>Fiscal and monetary policies are inseparable. In a modern economy, fiscal policy influences aggregate demand, government financing, and market expectations. Monetary policy influences liquidity, financing, the value of money, and financial stability. If the two are not coordinated, policies can cancel each other out. For example, the government may increase spending to stimulate growth, but the central bank may tighten liquidity excessively, weakening business financing. Conversely, the central bank may loosen liquidity, but the government may not direct spending toward productive sectors, leading to speculation and inflation.</w:t>
      </w:r>
    </w:p>
    <w:p w14:paraId="090DE3C3"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In Islamic economics, fiscal-monetary synergy has additional dimensions: Sharia compliance and social justice. Fiscal policy must ensure the equitable distribution of resources, while monetary policy must ensure that liquidity does not create new inequalities. Instruments such as sukuk can be a meeting point. The government issues sukuk to finance public projects, while the central bank can use sukuk as a liquidity management instrument. Islamic banks can hold sukuk as high-quality liquid assets. Thus, sukuk can strengthen fiscal financing, monetary stability, and deepen the Islamic financial market.</w:t>
      </w:r>
    </w:p>
    <w:p w14:paraId="74E7784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Zakat can also be indirectly synergized with monetary policy. When zakat strengthens the income of the poor, basic consumption becomes more stable. Consumption stability helps reduce the volatility of aggregate demand. If productive zakat is used as capital for micro-enterprises, social financing can reduce the poor's dependence on consumer debt. This supports financial stability because people are less likely to resort to interest-bearing financing or exploitative informal loans. Productive zakat can also be combined with Islamic microfinance, business mentoring, and financial literacy.</w:t>
      </w:r>
    </w:p>
    <w:p w14:paraId="6EFEC7E2"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Waqf can be an instrument of long-term stability by providing social assets. For example, educational waqf can improve the quality of human resources, health waqf can reduce household costs, and productive waqf can create jobs. In the long run, this strengthens the supply side of the economy. Stability is determined not only by aggregate demand but also by production capacity. An economy with good education, good health, and adequate social infrastructure is more resilient to shocks. Therefore, waqf can be viewed as a social fiscal instrument that strengthens structural stability.</w:t>
      </w:r>
    </w:p>
    <w:p w14:paraId="3F472602"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Fiscal-monetary synergy is also crucial in controlling inflation. Inflation can be caused by demand pressures, rising production costs, supply disruptions, or exchange rate depreciation. Monetary policy can control liquidity, but if inflation stems from food supply disruptions, fiscal policy is more relevant through targeted subsidies, food reserves, logistical infrastructure, and production support. From an Islamic perspective, inflation control is also related to market ethics, prohibitions on hoarding, monitoring fraudulent practices, and consumer protection. Therefore, fiscal and monetary policies must be supported by real sector policies and market supervision.</w:t>
      </w:r>
    </w:p>
    <w:p w14:paraId="2789ECC6" w14:textId="77777777" w:rsidR="003D3173" w:rsidRPr="003D3173" w:rsidRDefault="003D3173" w:rsidP="003D3173">
      <w:pPr>
        <w:widowControl/>
        <w:autoSpaceDE/>
        <w:autoSpaceDN/>
        <w:spacing w:before="100" w:beforeAutospacing="1" w:after="100" w:afterAutospacing="1"/>
        <w:jc w:val="both"/>
        <w:outlineLvl w:val="2"/>
        <w:rPr>
          <w:b/>
          <w:bCs/>
          <w:sz w:val="24"/>
          <w:szCs w:val="24"/>
          <w:lang w:val="en-ID" w:eastAsia="en-ID"/>
        </w:rPr>
      </w:pPr>
      <w:r w:rsidRPr="003D3173">
        <w:rPr>
          <w:b/>
          <w:bCs/>
          <w:sz w:val="27"/>
          <w:szCs w:val="27"/>
          <w:lang w:val="en-ID" w:eastAsia="en-ID"/>
        </w:rPr>
        <w:t xml:space="preserve">5. </w:t>
      </w:r>
      <w:r w:rsidRPr="003D3173">
        <w:rPr>
          <w:b/>
          <w:bCs/>
          <w:sz w:val="24"/>
          <w:szCs w:val="24"/>
          <w:lang w:val="en-ID" w:eastAsia="en-ID"/>
        </w:rPr>
        <w:t>Challenges in Implementing Islamic Fiscal and Monetary Policy</w:t>
      </w:r>
    </w:p>
    <w:p w14:paraId="714D3DC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Although the concept of Islamic fiscal and monetary policy has a strong foundation, its implementation faces numerous challenges. First, there remains a gap between ideal principles and institutional practice. Many Islamic financial institutions operate in an economic system still dominated by conventional instruments. As a result, Islamic products sometimes formally mimic conventional structures without fully reflecting the spirit of risk sharing. This can diminish the contribution of Islamic economics to stability.</w:t>
      </w:r>
    </w:p>
    <w:p w14:paraId="3B489B18"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Second, Islamic financial markets in many countries remain underdeveloped. Limited liquid instruments make it difficult for Islamic banks to manage liquidity. If the sukuk market remains underdeveloped, Islamic monetary operations are limited. Deepening the sukuk market, the Islamic </w:t>
      </w:r>
      <w:r w:rsidRPr="003D3173">
        <w:rPr>
          <w:sz w:val="24"/>
          <w:szCs w:val="24"/>
          <w:lang w:val="en-ID" w:eastAsia="en-ID"/>
        </w:rPr>
        <w:lastRenderedPageBreak/>
        <w:t>interbank money market, and Islamic hedging instruments is necessary for a more effective Islamic monetary system.</w:t>
      </w:r>
    </w:p>
    <w:p w14:paraId="6B72B56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Third, zakat and waqf governance still needs to be strengthened. Zakat requires an accurate database of muzakki (payers of zakat) and mustahik (recipients of zakat), transparency in collection, efficient distribution, and impact measurement. Waqf requires asset certification, professionalization of administrators (nazir), investment innovation, and oversight. Without good governance, zakat and waqf will struggle to become credible instruments of macroeconomic stabilization.</w:t>
      </w:r>
    </w:p>
    <w:p w14:paraId="2AA6B193"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Fourth, coordination between fiscal, monetary, financial, and Islamic social institutions is often suboptimal. Zakat policies may be managed by one institution, waqf by another, fiscal by the Ministry of Finance, and monetary by the central bank. Without data and strategy integration, the potential of the Islamic economy becomes fragmented. Economic stability, however, requires cross-institutional coordination.</w:t>
      </w:r>
    </w:p>
    <w:p w14:paraId="57F716D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Fifth, literacy among the public and economic actors remains a challenge. Many people understand zakat and waqf solely as individual acts of worship, not as instruments of development. Similarly, Islamic financial products are sometimes understood merely as religious alternatives, rather than as part of economic stability. Increasing literacy is necessary for the public to actively support Islamic fiscal and monetary policies.</w:t>
      </w:r>
    </w:p>
    <w:p w14:paraId="3D34FA8C" w14:textId="77777777" w:rsidR="003D3173" w:rsidRPr="003D3173" w:rsidRDefault="003D3173" w:rsidP="003D3173">
      <w:pPr>
        <w:widowControl/>
        <w:autoSpaceDE/>
        <w:autoSpaceDN/>
        <w:spacing w:before="100" w:beforeAutospacing="1" w:after="100" w:afterAutospacing="1"/>
        <w:jc w:val="both"/>
        <w:outlineLvl w:val="2"/>
        <w:rPr>
          <w:b/>
          <w:bCs/>
          <w:sz w:val="24"/>
          <w:szCs w:val="24"/>
          <w:lang w:val="en-ID" w:eastAsia="en-ID"/>
        </w:rPr>
      </w:pPr>
      <w:r w:rsidRPr="003D3173">
        <w:rPr>
          <w:b/>
          <w:bCs/>
          <w:sz w:val="24"/>
          <w:szCs w:val="24"/>
          <w:lang w:val="en-ID" w:eastAsia="en-ID"/>
        </w:rPr>
        <w:t>6. Policy Implications</w:t>
      </w:r>
    </w:p>
    <w:p w14:paraId="347C93A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Based on the discussion above, there are several policy implications. First, the government needs to integrate zakat and waqf into poverty alleviation and social stabilization strategies, without losing their sharia character. This integration can be achieved through integrated data, program coordination, and impact measurement. Second, the development of the sukuk market must be accelerated so that sukuk can function as both a fiscal and monetary instrument. Third, the central bank needs to strengthen sharia monetary instruments that are compliant with sharia principles and effective in managing liquidity. Fourth, financial authorities need to strengthen sharia macroprudential regulations to maintain the stability of sharia banks. Fifth, fiscal policy should be directed towards productive spending and protecting vulnerable groups. Sixth, monetary policy should support real sector financing and discourage speculation.</w:t>
      </w:r>
    </w:p>
    <w:p w14:paraId="2A39D38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Islamic economic stability cannot be achieved simply by replacing conventional terms with Sharia-compliant ones. More crucial is ensuring that policies truly reflect the principles of justice, welfare, transparency, and linkages to the real sector. Islamic fiscal policy must ensure equitable distribution and productive spending. Islamic monetary policy must maintain the value of money and channel liquidity to productive activities. Both must operate within a coordinated policy framework.</w:t>
      </w:r>
    </w:p>
    <w:p w14:paraId="07758631" w14:textId="77777777" w:rsidR="003D3173" w:rsidRPr="003D3173" w:rsidRDefault="003D3173" w:rsidP="003D3173">
      <w:pPr>
        <w:widowControl/>
        <w:autoSpaceDE/>
        <w:autoSpaceDN/>
        <w:spacing w:before="100" w:beforeAutospacing="1" w:after="100" w:afterAutospacing="1"/>
        <w:jc w:val="both"/>
        <w:outlineLvl w:val="1"/>
        <w:rPr>
          <w:b/>
          <w:bCs/>
          <w:sz w:val="24"/>
          <w:szCs w:val="24"/>
          <w:lang w:val="en-ID" w:eastAsia="en-ID"/>
        </w:rPr>
      </w:pPr>
      <w:r w:rsidRPr="003D3173">
        <w:rPr>
          <w:b/>
          <w:bCs/>
          <w:sz w:val="24"/>
          <w:szCs w:val="24"/>
          <w:lang w:val="en-ID" w:eastAsia="en-ID"/>
        </w:rPr>
        <w:t>Conclusion</w:t>
      </w:r>
    </w:p>
    <w:p w14:paraId="42A9C198"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Fiscal and monetary policies play a strategic role in achieving Islamic economic stability. Stability, from an Islamic perspective, is not only defined as low inflation, positive economic growth, and a healthy financial system, but also as the realization of distributive justice, protection of vulnerable groups, balance between the real and financial sectors, and the achievement of the maqāṣid al-sharī'ah (the principles of Islamic law). Islamic fiscal policy plays a role through zakat, infaq, sadaqah, waqf, public spending, fair taxes, and sukuk. Zakat can function as an instrument of redistribution and social support, while waqf can strengthen long-term social financing. Sukuk can be an instrument for development financing and a means of liquidity management.</w:t>
      </w:r>
    </w:p>
    <w:p w14:paraId="0574BC1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lastRenderedPageBreak/>
        <w:t>Islamic monetary policy plays a role in maintaining the value of money, controlling liquidity, encouraging productive financing, and maintaining the stability of Islamic banking. Because Islam prohibits usury (riba), monetary instruments must be designed based on Islamic contracts, real assets, and the principle of risk sharing. Islamic banking stability does not occur automatically but depends on good governance, capitalization, liquidity, regulations, and the quality of risk management. Therefore, coordination of fiscal and monetary policies is crucial. Without coordination, fiscal policy can trigger inflationary pressures or burden financing, while monetary policy can weaken real sector financing. Synergy between the two needs to be directed towards price stability, distributive justice, financial inclusion, and productive growth.</w:t>
      </w:r>
    </w:p>
    <w:p w14:paraId="6A615A7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Thus, Islamic economics offers a more holistic framework for stability. Economic stability is not merely technical but also ethical and social. To achieve this, strengthening zakat and waqf institutions, deepening the sukuk market, effective Islamic monetary instruments, robust Islamic financial governance, and integrating public policies based on the maqāṣid al-sharī'ah (the principles of Islamic law) are required.</w:t>
      </w:r>
    </w:p>
    <w:p w14:paraId="33D9187F" w14:textId="77777777" w:rsidR="003D3173" w:rsidRPr="003169EA" w:rsidRDefault="003D3173" w:rsidP="003D3173">
      <w:pPr>
        <w:widowControl/>
        <w:autoSpaceDE/>
        <w:autoSpaceDN/>
        <w:spacing w:before="100" w:beforeAutospacing="1" w:after="100" w:afterAutospacing="1"/>
        <w:jc w:val="both"/>
        <w:outlineLvl w:val="1"/>
        <w:rPr>
          <w:b/>
          <w:bCs/>
          <w:sz w:val="24"/>
          <w:szCs w:val="24"/>
          <w:lang w:val="en-ID" w:eastAsia="en-ID"/>
        </w:rPr>
      </w:pPr>
      <w:r w:rsidRPr="003169EA">
        <w:rPr>
          <w:b/>
          <w:bCs/>
          <w:sz w:val="24"/>
          <w:szCs w:val="24"/>
          <w:lang w:val="en-ID" w:eastAsia="en-ID"/>
        </w:rPr>
        <w:t>Bibliography</w:t>
      </w:r>
    </w:p>
    <w:p w14:paraId="2A8D849F"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Abdullah, M. (2018). Waqf, Sustainable Development Goals (SDGs) and maqasid al-shariah. </w:t>
      </w:r>
      <w:r w:rsidRPr="003D3173">
        <w:rPr>
          <w:i/>
          <w:iCs/>
          <w:sz w:val="24"/>
          <w:szCs w:val="24"/>
          <w:lang w:val="en-ID" w:eastAsia="en-ID"/>
        </w:rPr>
        <w:t xml:space="preserve">International Journal of Social Economics, 45 </w:t>
      </w:r>
      <w:r w:rsidRPr="003D3173">
        <w:rPr>
          <w:sz w:val="24"/>
          <w:szCs w:val="24"/>
          <w:lang w:val="en-ID" w:eastAsia="en-ID"/>
        </w:rPr>
        <w:t>(1), 158–172. https://doi.org/10.1108/IJSE-10-2016-0295</w:t>
      </w:r>
    </w:p>
    <w:p w14:paraId="1225A25A"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Abedifar, P., Molyneux, P., &amp; Tarazi, A. (2013). Risks in Islamic banking. </w:t>
      </w:r>
      <w:r w:rsidRPr="003D3173">
        <w:rPr>
          <w:i/>
          <w:iCs/>
          <w:sz w:val="24"/>
          <w:szCs w:val="24"/>
          <w:lang w:val="en-ID" w:eastAsia="en-ID"/>
        </w:rPr>
        <w:t xml:space="preserve">Review of Finance, 17 </w:t>
      </w:r>
      <w:r w:rsidRPr="003D3173">
        <w:rPr>
          <w:sz w:val="24"/>
          <w:szCs w:val="24"/>
          <w:lang w:val="en-ID" w:eastAsia="en-ID"/>
        </w:rPr>
        <w:t>(6), 2035–2096. https://doi.org/10.1093/rof/rfs041</w:t>
      </w:r>
    </w:p>
    <w:p w14:paraId="48D22153"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Akbar, N., &amp; Amijaya, S. (2021). Reviewing stock waqf product of Indonesian securities company. In T. Azid, M. Mukhlisin, N. Akbar, &amp; M. Tahir (Eds.),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Emerald Publishing. https://doi.org/10.1108/978-1-80043-786-920211005</w:t>
      </w:r>
    </w:p>
    <w:p w14:paraId="405543B2"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Azid, T., Mukhlisin, M., Akbar, N., &amp; Tahir, M. (Eds.). (2021).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xml:space="preserve">. Emerald Publishing. </w:t>
      </w:r>
      <w:hyperlink r:id="rId14" w:tgtFrame="_new" w:history="1">
        <w:r w:rsidRPr="003D3173">
          <w:rPr>
            <w:color w:val="0000FF"/>
            <w:sz w:val="24"/>
            <w:szCs w:val="24"/>
            <w:u w:val="single"/>
            <w:lang w:val="en-ID" w:eastAsia="en-ID"/>
          </w:rPr>
          <w:t>https://doi.org/10.1108/9781800437869</w:t>
        </w:r>
      </w:hyperlink>
    </w:p>
    <w:p w14:paraId="2212D5A3"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Bayuni, EM, &amp; Srisusilawati, P. (2021). Contribution of Shari'ah monetary instrument to control inflation in Indonesia. In T. Azid, M. Mukhlisin, N. Akbar, &amp; M. Tahir (Eds.),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Emerald Publishing. https://doi.org/10.1108/978-1-80043-786-920211008</w:t>
      </w:r>
    </w:p>
    <w:p w14:paraId="479A9D1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Beck, T., Demirgüç-Kunt, A., &amp; Merrouche, O. (2013). Islamic vs. conventional banking: Business model, efficiency and stability. </w:t>
      </w:r>
      <w:r w:rsidRPr="003D3173">
        <w:rPr>
          <w:i/>
          <w:iCs/>
          <w:sz w:val="24"/>
          <w:szCs w:val="24"/>
          <w:lang w:val="en-ID" w:eastAsia="en-ID"/>
        </w:rPr>
        <w:t xml:space="preserve">Journal of Banking &amp; Finance, 37 </w:t>
      </w:r>
      <w:r w:rsidRPr="003D3173">
        <w:rPr>
          <w:sz w:val="24"/>
          <w:szCs w:val="24"/>
          <w:lang w:val="en-ID" w:eastAsia="en-ID"/>
        </w:rPr>
        <w:t xml:space="preserve">(2), 433–447. </w:t>
      </w:r>
      <w:hyperlink r:id="rId15" w:tgtFrame="_new" w:history="1">
        <w:r w:rsidRPr="003D3173">
          <w:rPr>
            <w:color w:val="0000FF"/>
            <w:sz w:val="24"/>
            <w:szCs w:val="24"/>
            <w:u w:val="single"/>
            <w:lang w:val="en-ID" w:eastAsia="en-ID"/>
          </w:rPr>
          <w:t>https://doi.org/10.1016/j.jbankfin.2012.09.016</w:t>
        </w:r>
      </w:hyperlink>
    </w:p>
    <w:p w14:paraId="118A45A4"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Ben Jedidia, K., &amp; Guerbouj, K. (2021). Effects of zakat on the economic growth in selected Islamic countries: Empirical evidence. </w:t>
      </w:r>
      <w:r w:rsidRPr="003D3173">
        <w:rPr>
          <w:i/>
          <w:iCs/>
          <w:sz w:val="24"/>
          <w:szCs w:val="24"/>
          <w:lang w:val="en-ID" w:eastAsia="en-ID"/>
        </w:rPr>
        <w:t xml:space="preserve">International Journal of Development Issues, 20 </w:t>
      </w:r>
      <w:r w:rsidRPr="003D3173">
        <w:rPr>
          <w:sz w:val="24"/>
          <w:szCs w:val="24"/>
          <w:lang w:val="en-ID" w:eastAsia="en-ID"/>
        </w:rPr>
        <w:t>(1), 126–142. https://doi.org/10.1108/IJDI-05-2020-0100</w:t>
      </w:r>
    </w:p>
    <w:p w14:paraId="009E71D5"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Bourkhis, K., &amp; Nabi, M.S. (2013). Islamic and conventional banks' soundness during the 2007–2008 financial crisis. </w:t>
      </w:r>
      <w:r w:rsidRPr="003D3173">
        <w:rPr>
          <w:i/>
          <w:iCs/>
          <w:sz w:val="24"/>
          <w:szCs w:val="24"/>
          <w:lang w:val="en-ID" w:eastAsia="en-ID"/>
        </w:rPr>
        <w:t xml:space="preserve">Review of Financial Economics, 22 </w:t>
      </w:r>
      <w:r w:rsidRPr="003D3173">
        <w:rPr>
          <w:sz w:val="24"/>
          <w:szCs w:val="24"/>
          <w:lang w:val="en-ID" w:eastAsia="en-ID"/>
        </w:rPr>
        <w:t>(2), 68–77. https://doi.org/10.1016/j.rfe.2013.01.001</w:t>
      </w:r>
    </w:p>
    <w:p w14:paraId="5981B645"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lastRenderedPageBreak/>
        <w:t xml:space="preserve">Choudhury, M.A. (2021). Monetary and fiscal complementarities in socioeconomic sustainability. In T. Azid, M. Mukhlisin, N. Akbar, &amp; M. Tahir (Eds.),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Emerald Publishing. https://doi.org/10.1108/978-1-80043-786-920211006</w:t>
      </w:r>
    </w:p>
    <w:p w14:paraId="603A5041"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Čihák, M., &amp; Hesse, H. (2010). Islamic banks and financial stability: An empirical analysis. </w:t>
      </w:r>
      <w:r w:rsidRPr="003D3173">
        <w:rPr>
          <w:i/>
          <w:iCs/>
          <w:sz w:val="24"/>
          <w:szCs w:val="24"/>
          <w:lang w:val="en-ID" w:eastAsia="en-ID"/>
        </w:rPr>
        <w:t xml:space="preserve">Journal of Financial Services Research, 38 </w:t>
      </w:r>
      <w:r w:rsidRPr="003D3173">
        <w:rPr>
          <w:sz w:val="24"/>
          <w:szCs w:val="24"/>
          <w:lang w:val="en-ID" w:eastAsia="en-ID"/>
        </w:rPr>
        <w:t>, 95–113. https://doi.org/10.1007/s10693-010-0089-0</w:t>
      </w:r>
    </w:p>
    <w:p w14:paraId="3825B517"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Faizah, F.N., Sulistiyono, A., Yahya, M., &amp; Murtadho, A. (2025). Fiscal policy and Islamic philanthropy: A strategy for social welfare and economic stability. </w:t>
      </w:r>
      <w:r w:rsidRPr="003D3173">
        <w:rPr>
          <w:i/>
          <w:iCs/>
          <w:sz w:val="24"/>
          <w:szCs w:val="24"/>
          <w:lang w:val="en-ID" w:eastAsia="en-ID"/>
        </w:rPr>
        <w:t xml:space="preserve">Iqtisad: Reconstruction of Justice and Welfare for Indonesia, 12 </w:t>
      </w:r>
      <w:r w:rsidRPr="003D3173">
        <w:rPr>
          <w:sz w:val="24"/>
          <w:szCs w:val="24"/>
          <w:lang w:val="en-ID" w:eastAsia="en-ID"/>
        </w:rPr>
        <w:t>(1). https://doi.org/10.31942/iq.v12i1.12697</w:t>
      </w:r>
    </w:p>
    <w:p w14:paraId="19A10747"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Gunawan, AAR, &amp; Hasanah, SM (2025). The influence of zakat on quality economic growth. </w:t>
      </w:r>
      <w:r w:rsidRPr="003D3173">
        <w:rPr>
          <w:i/>
          <w:iCs/>
          <w:sz w:val="24"/>
          <w:szCs w:val="24"/>
          <w:lang w:val="en-ID" w:eastAsia="en-ID"/>
        </w:rPr>
        <w:t xml:space="preserve">Journal of Lifestyle and SDGs Review, 5 </w:t>
      </w:r>
      <w:r w:rsidRPr="003D3173">
        <w:rPr>
          <w:sz w:val="24"/>
          <w:szCs w:val="24"/>
          <w:lang w:val="en-ID" w:eastAsia="en-ID"/>
        </w:rPr>
        <w:t>(2). https://doi.org/10.47172/2965-730X.SDGsReview.v5.n02.pe02845</w:t>
      </w:r>
    </w:p>
    <w:p w14:paraId="51A0F30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Harahap, LW (2021). Implementation of zakat through corporate social responsibility partnership in overcoming poverty. In T. Azid, M. Mukhlisin, N. Akbar, &amp; M. Tahir (Eds.),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Emerald Publishing. https://doi.org/10.1108/978-1-80043-786-920211004</w:t>
      </w:r>
    </w:p>
    <w:p w14:paraId="269925C5"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Hassan, M. K., Sohel, M. N. I., Choudhury, T., &amp; Rashid, M. (2023). A systematic literature review of risks in Islamic banking system: Research agenda and future research directions. </w:t>
      </w:r>
      <w:r w:rsidRPr="003D3173">
        <w:rPr>
          <w:i/>
          <w:iCs/>
          <w:sz w:val="24"/>
          <w:szCs w:val="24"/>
          <w:lang w:val="en-ID" w:eastAsia="en-ID"/>
        </w:rPr>
        <w:t xml:space="preserve">International Journal of Islamic and Middle Eastern Finance and Management </w:t>
      </w:r>
      <w:r w:rsidRPr="003D3173">
        <w:rPr>
          <w:sz w:val="24"/>
          <w:szCs w:val="24"/>
          <w:lang w:val="en-ID" w:eastAsia="en-ID"/>
        </w:rPr>
        <w:t xml:space="preserve">. </w:t>
      </w:r>
      <w:hyperlink r:id="rId16" w:tgtFrame="_new" w:history="1">
        <w:r w:rsidRPr="003D3173">
          <w:rPr>
            <w:color w:val="0000FF"/>
            <w:sz w:val="24"/>
            <w:szCs w:val="24"/>
            <w:u w:val="single"/>
            <w:lang w:val="en-ID" w:eastAsia="en-ID"/>
          </w:rPr>
          <w:t>https://doi.org/10.1057/s41283-023-00135-z</w:t>
        </w:r>
      </w:hyperlink>
    </w:p>
    <w:p w14:paraId="5C4ACD8F"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Huda, N., Rini, N., Mardoni, Y., &amp; Putra, P. (2025). The impact of zakat on the economy and poverty in Indonesia. </w:t>
      </w:r>
      <w:r w:rsidRPr="003D3173">
        <w:rPr>
          <w:i/>
          <w:iCs/>
          <w:sz w:val="24"/>
          <w:szCs w:val="24"/>
          <w:lang w:val="en-ID" w:eastAsia="en-ID"/>
        </w:rPr>
        <w:t xml:space="preserve">Journal of Islamic Economic Laws, 9 </w:t>
      </w:r>
      <w:r w:rsidRPr="003D3173">
        <w:rPr>
          <w:sz w:val="24"/>
          <w:szCs w:val="24"/>
          <w:lang w:val="en-ID" w:eastAsia="en-ID"/>
        </w:rPr>
        <w:t>(1). https://doi.org/10.23917/jisel.v9i01.10461</w:t>
      </w:r>
    </w:p>
    <w:p w14:paraId="3CBCBC5E"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Kasri, RA, Ahsan, A., Widiatmoko, D., &amp; Hati, SRH (2025). Harnessing zakat to drive inclusive economic growth: Prospects and challenges in Indonesia. </w:t>
      </w:r>
      <w:r w:rsidRPr="003D3173">
        <w:rPr>
          <w:i/>
          <w:iCs/>
          <w:sz w:val="24"/>
          <w:szCs w:val="24"/>
          <w:lang w:val="en-ID" w:eastAsia="en-ID"/>
        </w:rPr>
        <w:t xml:space="preserve">Middle East and Islamic Studies, 12 </w:t>
      </w:r>
      <w:r w:rsidRPr="003D3173">
        <w:rPr>
          <w:sz w:val="24"/>
          <w:szCs w:val="24"/>
          <w:lang w:val="en-ID" w:eastAsia="en-ID"/>
        </w:rPr>
        <w:t>(1). https://doi.org/10.7454/meis.v12i1.193</w:t>
      </w:r>
    </w:p>
    <w:p w14:paraId="2F933EB0"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Khan, M.M., &amp; Bhatti, M.I. (2008). Islamic banking and finance: On its way to globalization. </w:t>
      </w:r>
      <w:r w:rsidRPr="003D3173">
        <w:rPr>
          <w:i/>
          <w:iCs/>
          <w:sz w:val="24"/>
          <w:szCs w:val="24"/>
          <w:lang w:val="en-ID" w:eastAsia="en-ID"/>
        </w:rPr>
        <w:t xml:space="preserve">Managerial Finance, 34 </w:t>
      </w:r>
      <w:r w:rsidRPr="003D3173">
        <w:rPr>
          <w:sz w:val="24"/>
          <w:szCs w:val="24"/>
          <w:lang w:val="en-ID" w:eastAsia="en-ID"/>
        </w:rPr>
        <w:t>(10), 708–725. https://doi.org/10.1108/03074350810891029</w:t>
      </w:r>
    </w:p>
    <w:p w14:paraId="3ED8A5E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Kiaee, H., &amp; Eftekhari Mahabadi, S. (2021). The effects of monetary policy on the stability of Islamic banks with different governance models: Case of Islamic Republic of Iran. In T. Azid, M. Mukhlisin, N. Akbar, &amp; M. Tahir (Eds.),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Emerald Publishing. https://doi.org/10.1108/978-1-80043-786-920211009</w:t>
      </w:r>
    </w:p>
    <w:p w14:paraId="18625396"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Musari, K., &amp; Fathorrazi, M. (2021). Islamic helix approach, the Islamic social finance partnership models for MSMEs: Lessons learned from Indonesia. In T. Azid, M. Mukhlisin, N. Akbar, &amp; M. Tahir (Eds.),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Emerald Publishing. https://doi.org/10.1108/978-1-80043-786-920211017</w:t>
      </w:r>
    </w:p>
    <w:p w14:paraId="0F2D56D8"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Pappas, V., Ongena, S., Izzeldin, M., &amp; Fuertes, A.M. (2017). A survival analysis of Islamic and conventional banks. </w:t>
      </w:r>
      <w:r w:rsidRPr="003D3173">
        <w:rPr>
          <w:i/>
          <w:iCs/>
          <w:sz w:val="24"/>
          <w:szCs w:val="24"/>
          <w:lang w:val="en-ID" w:eastAsia="en-ID"/>
        </w:rPr>
        <w:t xml:space="preserve">Journal of Financial Services Research, 51 </w:t>
      </w:r>
      <w:r w:rsidRPr="003D3173">
        <w:rPr>
          <w:sz w:val="24"/>
          <w:szCs w:val="24"/>
          <w:lang w:val="en-ID" w:eastAsia="en-ID"/>
        </w:rPr>
        <w:t>, 221–256. https://doi.org/10.1007/s10693-016-0239-0</w:t>
      </w:r>
    </w:p>
    <w:p w14:paraId="59695C88"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lastRenderedPageBreak/>
        <w:t xml:space="preserve">Rizwan, MS, Ahmad, G., &amp; Ashraf, D. (2022). Systemic risk, Islamic banks, and the COVID-19 pandemic: An empirical investigation. </w:t>
      </w:r>
      <w:r w:rsidRPr="003D3173">
        <w:rPr>
          <w:i/>
          <w:iCs/>
          <w:sz w:val="24"/>
          <w:szCs w:val="24"/>
          <w:lang w:val="en-ID" w:eastAsia="en-ID"/>
        </w:rPr>
        <w:t xml:space="preserve">Emerging Markets Review, 51 </w:t>
      </w:r>
      <w:r w:rsidRPr="003D3173">
        <w:rPr>
          <w:sz w:val="24"/>
          <w:szCs w:val="24"/>
          <w:lang w:val="en-ID" w:eastAsia="en-ID"/>
        </w:rPr>
        <w:t>, 100890. https://doi.org/10.1016/j.ememar.2022.100890</w:t>
      </w:r>
    </w:p>
    <w:p w14:paraId="3A0FB2DC"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Said, A., &amp; Grassa, R. (2013). The determinants of sukuk market development: Do macroeconomic factors influence the construction of certain structures of sukuk? </w:t>
      </w:r>
      <w:r w:rsidRPr="003D3173">
        <w:rPr>
          <w:i/>
          <w:iCs/>
          <w:sz w:val="24"/>
          <w:szCs w:val="24"/>
          <w:lang w:val="en-ID" w:eastAsia="en-ID"/>
        </w:rPr>
        <w:t xml:space="preserve">Journal of Applied Finance &amp; Banking, 3 </w:t>
      </w:r>
      <w:r w:rsidRPr="003D3173">
        <w:rPr>
          <w:sz w:val="24"/>
          <w:szCs w:val="24"/>
          <w:lang w:val="en-ID" w:eastAsia="en-ID"/>
        </w:rPr>
        <w:t xml:space="preserve">(5), 251–267. </w:t>
      </w:r>
      <w:hyperlink r:id="rId17" w:tgtFrame="_new" w:history="1">
        <w:r w:rsidRPr="003D3173">
          <w:rPr>
            <w:color w:val="0000FF"/>
            <w:sz w:val="24"/>
            <w:szCs w:val="24"/>
            <w:u w:val="single"/>
            <w:lang w:val="en-ID" w:eastAsia="en-ID"/>
          </w:rPr>
          <w:t>https://doi.org/10.1016/j.bir.2013.10.003</w:t>
        </w:r>
      </w:hyperlink>
    </w:p>
    <w:p w14:paraId="074D7984"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Shaikh, SA, Ismail, AG, &amp; Shafiai, MHM (2017). Application of waqf for social and development finance. </w:t>
      </w:r>
      <w:r w:rsidRPr="003D3173">
        <w:rPr>
          <w:i/>
          <w:iCs/>
          <w:sz w:val="24"/>
          <w:szCs w:val="24"/>
          <w:lang w:val="en-ID" w:eastAsia="en-ID"/>
        </w:rPr>
        <w:t xml:space="preserve">ISRA International Journal of Islamic Finance, 9 </w:t>
      </w:r>
      <w:r w:rsidRPr="003D3173">
        <w:rPr>
          <w:sz w:val="24"/>
          <w:szCs w:val="24"/>
          <w:lang w:val="en-ID" w:eastAsia="en-ID"/>
        </w:rPr>
        <w:t xml:space="preserve">(1), 5–14. </w:t>
      </w:r>
      <w:hyperlink r:id="rId18" w:tgtFrame="_new" w:history="1">
        <w:r w:rsidRPr="003D3173">
          <w:rPr>
            <w:color w:val="0000FF"/>
            <w:sz w:val="24"/>
            <w:szCs w:val="24"/>
            <w:u w:val="single"/>
            <w:lang w:val="en-ID" w:eastAsia="en-ID"/>
          </w:rPr>
          <w:t>https://doi.org/10.1108/IJIF-07-2017-002</w:t>
        </w:r>
      </w:hyperlink>
    </w:p>
    <w:p w14:paraId="423B7D64"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Smaoui, H., &amp; Nechi, S. (2017). Does sukuk market development spur economic growth? </w:t>
      </w:r>
      <w:r w:rsidRPr="003D3173">
        <w:rPr>
          <w:i/>
          <w:iCs/>
          <w:sz w:val="24"/>
          <w:szCs w:val="24"/>
          <w:lang w:val="en-ID" w:eastAsia="en-ID"/>
        </w:rPr>
        <w:t xml:space="preserve">Research in International Business and Finance, 41 </w:t>
      </w:r>
      <w:r w:rsidRPr="003D3173">
        <w:rPr>
          <w:sz w:val="24"/>
          <w:szCs w:val="24"/>
          <w:lang w:val="en-ID" w:eastAsia="en-ID"/>
        </w:rPr>
        <w:t>, 136–147. https://doi.org/10.1016/j.ribaf.2017.04.018</w:t>
      </w:r>
    </w:p>
    <w:p w14:paraId="7F464742"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Tahir, M., Ibrahim, S., &amp; Mirakhor, A. (2025). Optimizing Islamic financing for economic stability: A case for monetary policy relevance. </w:t>
      </w:r>
      <w:r w:rsidRPr="003D3173">
        <w:rPr>
          <w:i/>
          <w:iCs/>
          <w:sz w:val="24"/>
          <w:szCs w:val="24"/>
          <w:lang w:val="en-ID" w:eastAsia="en-ID"/>
        </w:rPr>
        <w:t xml:space="preserve">Journal of Islamic Accounting and Business Research </w:t>
      </w:r>
      <w:r w:rsidRPr="003D3173">
        <w:rPr>
          <w:sz w:val="24"/>
          <w:szCs w:val="24"/>
          <w:lang w:val="en-ID" w:eastAsia="en-ID"/>
        </w:rPr>
        <w:t>. https://doi.org/10.1108/JIABR-05-2024-0176</w:t>
      </w:r>
    </w:p>
    <w:p w14:paraId="46289853"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Uddin, MA, Ahmad, AUF, &amp; El Morabit, F. (2021). Is interest rate suitable as a monetary policy instrument for OIC countries? In T. Azid, M. Mukhlisin, N. Akbar, &amp; M. Tahir (Eds.),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Emerald Publishing. https://doi.org/10.1108/978-1-80043-786-920211007</w:t>
      </w:r>
    </w:p>
    <w:p w14:paraId="1E6890FB"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Widarjono, A., &amp; Ajija, SR (2020). Do Islamic banks have higher stability than conventional banks? Evidence from Indonesia. </w:t>
      </w:r>
      <w:r w:rsidRPr="003D3173">
        <w:rPr>
          <w:i/>
          <w:iCs/>
          <w:sz w:val="24"/>
          <w:szCs w:val="24"/>
          <w:lang w:val="en-ID" w:eastAsia="en-ID"/>
        </w:rPr>
        <w:t xml:space="preserve">Journal of Islamic Economics &amp; Finance, 6 </w:t>
      </w:r>
      <w:r w:rsidRPr="003D3173">
        <w:rPr>
          <w:sz w:val="24"/>
          <w:szCs w:val="24"/>
          <w:lang w:val="en-ID" w:eastAsia="en-ID"/>
        </w:rPr>
        <w:t>(2), 149–164. https://doi.org/10.20885/JEKI.vol6.iss2.art5</w:t>
      </w:r>
    </w:p>
    <w:p w14:paraId="2C8EA515"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Yahya, M., Faizah, F.N., Sulistiyono, A., &amp; Murtadho, A. (2025). Islamic fiscal policy and social welfare: Zakat, waqf, and equitable stability. </w:t>
      </w:r>
      <w:r w:rsidRPr="003D3173">
        <w:rPr>
          <w:i/>
          <w:iCs/>
          <w:sz w:val="24"/>
          <w:szCs w:val="24"/>
          <w:lang w:val="en-ID" w:eastAsia="en-ID"/>
        </w:rPr>
        <w:t xml:space="preserve">Iqtisad: Reconstruction of Justice and Welfare for Indonesia, 12 </w:t>
      </w:r>
      <w:r w:rsidRPr="003D3173">
        <w:rPr>
          <w:sz w:val="24"/>
          <w:szCs w:val="24"/>
          <w:lang w:val="en-ID" w:eastAsia="en-ID"/>
        </w:rPr>
        <w:t>(1). https://doi.org/10.31942/iq.v12i1.12697</w:t>
      </w:r>
    </w:p>
    <w:p w14:paraId="775FDD6F"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Yusoff, M. B. (2011). Zakat expenditure, school enrollment, and economic growth in Malaysia. </w:t>
      </w:r>
      <w:r w:rsidRPr="003D3173">
        <w:rPr>
          <w:i/>
          <w:iCs/>
          <w:sz w:val="24"/>
          <w:szCs w:val="24"/>
          <w:lang w:val="en-ID" w:eastAsia="en-ID"/>
        </w:rPr>
        <w:t xml:space="preserve">International Journal of Business and Social Science, 2 </w:t>
      </w:r>
      <w:r w:rsidRPr="003D3173">
        <w:rPr>
          <w:sz w:val="24"/>
          <w:szCs w:val="24"/>
          <w:lang w:val="en-ID" w:eastAsia="en-ID"/>
        </w:rPr>
        <w:t>(6), 175–181. https://doi.org/10.2991/iconies-18.2019.39</w:t>
      </w:r>
    </w:p>
    <w:p w14:paraId="33BEDE1E"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Zulkhibri, M. (2015). A synthesis of theoretical and empirical research on sukuk. </w:t>
      </w:r>
      <w:r w:rsidRPr="003D3173">
        <w:rPr>
          <w:i/>
          <w:iCs/>
          <w:sz w:val="24"/>
          <w:szCs w:val="24"/>
          <w:lang w:val="en-ID" w:eastAsia="en-ID"/>
        </w:rPr>
        <w:t xml:space="preserve">Borsa Istanbul Review, 15 </w:t>
      </w:r>
      <w:r w:rsidRPr="003D3173">
        <w:rPr>
          <w:sz w:val="24"/>
          <w:szCs w:val="24"/>
          <w:lang w:val="en-ID" w:eastAsia="en-ID"/>
        </w:rPr>
        <w:t xml:space="preserve">(4), 237–248. </w:t>
      </w:r>
      <w:hyperlink r:id="rId19" w:tgtFrame="_new" w:history="1">
        <w:r w:rsidRPr="003D3173">
          <w:rPr>
            <w:color w:val="0000FF"/>
            <w:sz w:val="24"/>
            <w:szCs w:val="24"/>
            <w:u w:val="single"/>
            <w:lang w:val="en-ID" w:eastAsia="en-ID"/>
          </w:rPr>
          <w:t>https://doi.org/10.1016/j.bir.2015.10.001</w:t>
        </w:r>
      </w:hyperlink>
    </w:p>
    <w:p w14:paraId="3C5BE2DD"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Azulaidin, A., Anwar, A., &amp; Maraghch, A.T. (2025). Exploring Sharia-compliant monetary policy: Implications for economic stability and education in Islamic economics. </w:t>
      </w:r>
      <w:r w:rsidRPr="003D3173">
        <w:rPr>
          <w:i/>
          <w:iCs/>
          <w:sz w:val="24"/>
          <w:szCs w:val="24"/>
          <w:lang w:val="en-ID" w:eastAsia="en-ID"/>
        </w:rPr>
        <w:t xml:space="preserve">Al-Tadzkiyyah: Journal of Islamic Education, 16 </w:t>
      </w:r>
      <w:r w:rsidRPr="003D3173">
        <w:rPr>
          <w:sz w:val="24"/>
          <w:szCs w:val="24"/>
          <w:lang w:val="en-ID" w:eastAsia="en-ID"/>
        </w:rPr>
        <w:t>(2). https://doi.org/10.24042/atjpi.v16i2.30631</w:t>
      </w:r>
    </w:p>
    <w:p w14:paraId="2C1B1A71"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Miah, M.D., Suzuki, Y., &amp; Uddin, SMS (2021). Vulnerability of Islamic banking in ASEAN. </w:t>
      </w:r>
      <w:r w:rsidRPr="003D3173">
        <w:rPr>
          <w:i/>
          <w:iCs/>
          <w:sz w:val="24"/>
          <w:szCs w:val="24"/>
          <w:lang w:val="en-ID" w:eastAsia="en-ID"/>
        </w:rPr>
        <w:t xml:space="preserve">International Journal of Ethics and Systems, 37 </w:t>
      </w:r>
      <w:r w:rsidRPr="003D3173">
        <w:rPr>
          <w:sz w:val="24"/>
          <w:szCs w:val="24"/>
          <w:lang w:val="en-ID" w:eastAsia="en-ID"/>
        </w:rPr>
        <w:t>(2), 159–176. https://doi.org/10.1108/IES-10-2021-0040</w:t>
      </w:r>
    </w:p>
    <w:p w14:paraId="26D238F2" w14:textId="77777777" w:rsidR="003D3173" w:rsidRPr="003D3173" w:rsidRDefault="003D3173" w:rsidP="003D3173">
      <w:pPr>
        <w:widowControl/>
        <w:autoSpaceDE/>
        <w:autoSpaceDN/>
        <w:spacing w:before="100" w:beforeAutospacing="1" w:after="100" w:afterAutospacing="1"/>
        <w:jc w:val="both"/>
        <w:rPr>
          <w:sz w:val="24"/>
          <w:szCs w:val="24"/>
          <w:lang w:val="en-ID" w:eastAsia="en-ID"/>
        </w:rPr>
      </w:pPr>
      <w:r w:rsidRPr="003D3173">
        <w:rPr>
          <w:sz w:val="24"/>
          <w:szCs w:val="24"/>
          <w:lang w:val="en-ID" w:eastAsia="en-ID"/>
        </w:rPr>
        <w:t xml:space="preserve">Marie, M., El-Halaby, S., El-Bendary, I., &amp; Hussainey, K. (2021). Does culture moderate the relationship between AAOIFI adoption and earnings management? Evidence from Islamic banks. In T. Azid, M. Mukhlisin, N. Akbar, &amp; M. Tahir (Eds.), </w:t>
      </w:r>
      <w:r w:rsidRPr="003D3173">
        <w:rPr>
          <w:i/>
          <w:iCs/>
          <w:sz w:val="24"/>
          <w:szCs w:val="24"/>
          <w:lang w:val="en-ID" w:eastAsia="en-ID"/>
        </w:rPr>
        <w:t xml:space="preserve">Monetary policy, Islamic finance, and Islamic corporate governance: An international overview </w:t>
      </w:r>
      <w:r w:rsidRPr="003D3173">
        <w:rPr>
          <w:sz w:val="24"/>
          <w:szCs w:val="24"/>
          <w:lang w:val="en-ID" w:eastAsia="en-ID"/>
        </w:rPr>
        <w:t>. Emerald Publishing. https://doi.org/10.1108/978-1-80043-786-920211011</w:t>
      </w:r>
    </w:p>
    <w:p w14:paraId="6218A1F8" w14:textId="77777777" w:rsidR="001C294C" w:rsidRDefault="001C294C" w:rsidP="003D3173">
      <w:pPr>
        <w:pStyle w:val="BodyText"/>
        <w:spacing w:before="4"/>
        <w:ind w:left="0"/>
        <w:jc w:val="both"/>
        <w:rPr>
          <w:sz w:val="17"/>
        </w:rPr>
      </w:pPr>
    </w:p>
    <w:sectPr w:rsidR="001C294C" w:rsidSect="003D3173">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07AE"/>
    <w:multiLevelType w:val="hybridMultilevel"/>
    <w:tmpl w:val="9260F7CA"/>
    <w:lvl w:ilvl="0" w:tplc="88B88F84">
      <w:numFmt w:val="bullet"/>
      <w:lvlText w:val=""/>
      <w:lvlJc w:val="left"/>
      <w:pPr>
        <w:ind w:left="2184" w:hanging="360"/>
      </w:pPr>
      <w:rPr>
        <w:rFonts w:ascii="Symbol" w:eastAsia="Symbol" w:hAnsi="Symbol" w:cs="Symbol" w:hint="default"/>
        <w:b w:val="0"/>
        <w:bCs w:val="0"/>
        <w:i w:val="0"/>
        <w:iCs w:val="0"/>
        <w:spacing w:val="0"/>
        <w:w w:val="100"/>
        <w:sz w:val="24"/>
        <w:szCs w:val="24"/>
        <w:lang w:val="en-US" w:eastAsia="en-US" w:bidi="ar-SA"/>
      </w:rPr>
    </w:lvl>
    <w:lvl w:ilvl="1" w:tplc="239C8B50">
      <w:numFmt w:val="bullet"/>
      <w:lvlText w:val="•"/>
      <w:lvlJc w:val="left"/>
      <w:pPr>
        <w:ind w:left="2869" w:hanging="360"/>
      </w:pPr>
      <w:rPr>
        <w:rFonts w:hint="default"/>
        <w:lang w:val="en-US" w:eastAsia="en-US" w:bidi="ar-SA"/>
      </w:rPr>
    </w:lvl>
    <w:lvl w:ilvl="2" w:tplc="2076BBEE">
      <w:numFmt w:val="bullet"/>
      <w:lvlText w:val="•"/>
      <w:lvlJc w:val="left"/>
      <w:pPr>
        <w:ind w:left="3558" w:hanging="360"/>
      </w:pPr>
      <w:rPr>
        <w:rFonts w:hint="default"/>
        <w:lang w:val="en-US" w:eastAsia="en-US" w:bidi="ar-SA"/>
      </w:rPr>
    </w:lvl>
    <w:lvl w:ilvl="3" w:tplc="4E1CDC1E">
      <w:numFmt w:val="bullet"/>
      <w:lvlText w:val="•"/>
      <w:lvlJc w:val="left"/>
      <w:pPr>
        <w:ind w:left="4247" w:hanging="360"/>
      </w:pPr>
      <w:rPr>
        <w:rFonts w:hint="default"/>
        <w:lang w:val="en-US" w:eastAsia="en-US" w:bidi="ar-SA"/>
      </w:rPr>
    </w:lvl>
    <w:lvl w:ilvl="4" w:tplc="E59AEF74">
      <w:numFmt w:val="bullet"/>
      <w:lvlText w:val="•"/>
      <w:lvlJc w:val="left"/>
      <w:pPr>
        <w:ind w:left="4936" w:hanging="360"/>
      </w:pPr>
      <w:rPr>
        <w:rFonts w:hint="default"/>
        <w:lang w:val="en-US" w:eastAsia="en-US" w:bidi="ar-SA"/>
      </w:rPr>
    </w:lvl>
    <w:lvl w:ilvl="5" w:tplc="D6F8867C">
      <w:numFmt w:val="bullet"/>
      <w:lvlText w:val="•"/>
      <w:lvlJc w:val="left"/>
      <w:pPr>
        <w:ind w:left="5625" w:hanging="360"/>
      </w:pPr>
      <w:rPr>
        <w:rFonts w:hint="default"/>
        <w:lang w:val="en-US" w:eastAsia="en-US" w:bidi="ar-SA"/>
      </w:rPr>
    </w:lvl>
    <w:lvl w:ilvl="6" w:tplc="ED928ADE">
      <w:numFmt w:val="bullet"/>
      <w:lvlText w:val="•"/>
      <w:lvlJc w:val="left"/>
      <w:pPr>
        <w:ind w:left="6314" w:hanging="360"/>
      </w:pPr>
      <w:rPr>
        <w:rFonts w:hint="default"/>
        <w:lang w:val="en-US" w:eastAsia="en-US" w:bidi="ar-SA"/>
      </w:rPr>
    </w:lvl>
    <w:lvl w:ilvl="7" w:tplc="D954E60C">
      <w:numFmt w:val="bullet"/>
      <w:lvlText w:val="•"/>
      <w:lvlJc w:val="left"/>
      <w:pPr>
        <w:ind w:left="7003" w:hanging="360"/>
      </w:pPr>
      <w:rPr>
        <w:rFonts w:hint="default"/>
        <w:lang w:val="en-US" w:eastAsia="en-US" w:bidi="ar-SA"/>
      </w:rPr>
    </w:lvl>
    <w:lvl w:ilvl="8" w:tplc="ECF40274">
      <w:numFmt w:val="bullet"/>
      <w:lvlText w:val="•"/>
      <w:lvlJc w:val="left"/>
      <w:pPr>
        <w:ind w:left="7692" w:hanging="360"/>
      </w:pPr>
      <w:rPr>
        <w:rFonts w:hint="default"/>
        <w:lang w:val="en-US" w:eastAsia="en-US" w:bidi="ar-SA"/>
      </w:rPr>
    </w:lvl>
  </w:abstractNum>
  <w:abstractNum w:abstractNumId="1" w15:restartNumberingAfterBreak="0">
    <w:nsid w:val="2D263D7A"/>
    <w:multiLevelType w:val="hybridMultilevel"/>
    <w:tmpl w:val="3E34BAE2"/>
    <w:lvl w:ilvl="0" w:tplc="ED00D23A">
      <w:start w:val="1"/>
      <w:numFmt w:val="decimal"/>
      <w:lvlText w:val="%1."/>
      <w:lvlJc w:val="left"/>
      <w:pPr>
        <w:ind w:left="1104"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83248B74">
      <w:numFmt w:val="bullet"/>
      <w:lvlText w:val=""/>
      <w:lvlJc w:val="left"/>
      <w:pPr>
        <w:ind w:left="1824" w:hanging="361"/>
      </w:pPr>
      <w:rPr>
        <w:rFonts w:ascii="Wingdings" w:eastAsia="Wingdings" w:hAnsi="Wingdings" w:cs="Wingdings" w:hint="default"/>
        <w:b w:val="0"/>
        <w:bCs w:val="0"/>
        <w:i w:val="0"/>
        <w:iCs w:val="0"/>
        <w:spacing w:val="0"/>
        <w:w w:val="100"/>
        <w:sz w:val="24"/>
        <w:szCs w:val="24"/>
        <w:lang w:val="en-US" w:eastAsia="en-US" w:bidi="ar-SA"/>
      </w:rPr>
    </w:lvl>
    <w:lvl w:ilvl="2" w:tplc="8760DECC">
      <w:numFmt w:val="bullet"/>
      <w:lvlText w:val="•"/>
      <w:lvlJc w:val="left"/>
      <w:pPr>
        <w:ind w:left="2625" w:hanging="361"/>
      </w:pPr>
      <w:rPr>
        <w:rFonts w:hint="default"/>
        <w:lang w:val="en-US" w:eastAsia="en-US" w:bidi="ar-SA"/>
      </w:rPr>
    </w:lvl>
    <w:lvl w:ilvl="3" w:tplc="FA80C1B2">
      <w:numFmt w:val="bullet"/>
      <w:lvlText w:val="•"/>
      <w:lvlJc w:val="left"/>
      <w:pPr>
        <w:ind w:left="3431" w:hanging="361"/>
      </w:pPr>
      <w:rPr>
        <w:rFonts w:hint="default"/>
        <w:lang w:val="en-US" w:eastAsia="en-US" w:bidi="ar-SA"/>
      </w:rPr>
    </w:lvl>
    <w:lvl w:ilvl="4" w:tplc="6270D412">
      <w:numFmt w:val="bullet"/>
      <w:lvlText w:val="•"/>
      <w:lvlJc w:val="left"/>
      <w:pPr>
        <w:ind w:left="4236" w:hanging="361"/>
      </w:pPr>
      <w:rPr>
        <w:rFonts w:hint="default"/>
        <w:lang w:val="en-US" w:eastAsia="en-US" w:bidi="ar-SA"/>
      </w:rPr>
    </w:lvl>
    <w:lvl w:ilvl="5" w:tplc="5C86D30C">
      <w:numFmt w:val="bullet"/>
      <w:lvlText w:val="•"/>
      <w:lvlJc w:val="left"/>
      <w:pPr>
        <w:ind w:left="5042" w:hanging="361"/>
      </w:pPr>
      <w:rPr>
        <w:rFonts w:hint="default"/>
        <w:lang w:val="en-US" w:eastAsia="en-US" w:bidi="ar-SA"/>
      </w:rPr>
    </w:lvl>
    <w:lvl w:ilvl="6" w:tplc="09347A62">
      <w:numFmt w:val="bullet"/>
      <w:lvlText w:val="•"/>
      <w:lvlJc w:val="left"/>
      <w:pPr>
        <w:ind w:left="5847" w:hanging="361"/>
      </w:pPr>
      <w:rPr>
        <w:rFonts w:hint="default"/>
        <w:lang w:val="en-US" w:eastAsia="en-US" w:bidi="ar-SA"/>
      </w:rPr>
    </w:lvl>
    <w:lvl w:ilvl="7" w:tplc="A028BD3A">
      <w:numFmt w:val="bullet"/>
      <w:lvlText w:val="•"/>
      <w:lvlJc w:val="left"/>
      <w:pPr>
        <w:ind w:left="6653" w:hanging="361"/>
      </w:pPr>
      <w:rPr>
        <w:rFonts w:hint="default"/>
        <w:lang w:val="en-US" w:eastAsia="en-US" w:bidi="ar-SA"/>
      </w:rPr>
    </w:lvl>
    <w:lvl w:ilvl="8" w:tplc="FF982EB4">
      <w:numFmt w:val="bullet"/>
      <w:lvlText w:val="•"/>
      <w:lvlJc w:val="left"/>
      <w:pPr>
        <w:ind w:left="7458" w:hanging="361"/>
      </w:pPr>
      <w:rPr>
        <w:rFonts w:hint="default"/>
        <w:lang w:val="en-US" w:eastAsia="en-US" w:bidi="ar-SA"/>
      </w:rPr>
    </w:lvl>
  </w:abstractNum>
  <w:abstractNum w:abstractNumId="2" w15:restartNumberingAfterBreak="0">
    <w:nsid w:val="7D1903A5"/>
    <w:multiLevelType w:val="hybridMultilevel"/>
    <w:tmpl w:val="EF60BA8C"/>
    <w:lvl w:ilvl="0" w:tplc="33604FDA">
      <w:numFmt w:val="bullet"/>
      <w:lvlText w:val=""/>
      <w:lvlJc w:val="left"/>
      <w:pPr>
        <w:ind w:left="1824" w:hanging="361"/>
      </w:pPr>
      <w:rPr>
        <w:rFonts w:ascii="Symbol" w:eastAsia="Symbol" w:hAnsi="Symbol" w:cs="Symbol" w:hint="default"/>
        <w:b w:val="0"/>
        <w:bCs w:val="0"/>
        <w:i w:val="0"/>
        <w:iCs w:val="0"/>
        <w:spacing w:val="0"/>
        <w:w w:val="100"/>
        <w:sz w:val="24"/>
        <w:szCs w:val="24"/>
        <w:lang w:val="en-US" w:eastAsia="en-US" w:bidi="ar-SA"/>
      </w:rPr>
    </w:lvl>
    <w:lvl w:ilvl="1" w:tplc="EF868076">
      <w:numFmt w:val="bullet"/>
      <w:lvlText w:val=""/>
      <w:lvlJc w:val="left"/>
      <w:pPr>
        <w:ind w:left="2184" w:hanging="360"/>
      </w:pPr>
      <w:rPr>
        <w:rFonts w:ascii="Wingdings" w:eastAsia="Wingdings" w:hAnsi="Wingdings" w:cs="Wingdings" w:hint="default"/>
        <w:b w:val="0"/>
        <w:bCs w:val="0"/>
        <w:i w:val="0"/>
        <w:iCs w:val="0"/>
        <w:spacing w:val="0"/>
        <w:w w:val="100"/>
        <w:sz w:val="24"/>
        <w:szCs w:val="24"/>
        <w:lang w:val="en-US" w:eastAsia="en-US" w:bidi="ar-SA"/>
      </w:rPr>
    </w:lvl>
    <w:lvl w:ilvl="2" w:tplc="9A564426">
      <w:numFmt w:val="bullet"/>
      <w:lvlText w:val="•"/>
      <w:lvlJc w:val="left"/>
      <w:pPr>
        <w:ind w:left="2945" w:hanging="360"/>
      </w:pPr>
      <w:rPr>
        <w:rFonts w:hint="default"/>
        <w:lang w:val="en-US" w:eastAsia="en-US" w:bidi="ar-SA"/>
      </w:rPr>
    </w:lvl>
    <w:lvl w:ilvl="3" w:tplc="C6F06C70">
      <w:numFmt w:val="bullet"/>
      <w:lvlText w:val="•"/>
      <w:lvlJc w:val="left"/>
      <w:pPr>
        <w:ind w:left="3711" w:hanging="360"/>
      </w:pPr>
      <w:rPr>
        <w:rFonts w:hint="default"/>
        <w:lang w:val="en-US" w:eastAsia="en-US" w:bidi="ar-SA"/>
      </w:rPr>
    </w:lvl>
    <w:lvl w:ilvl="4" w:tplc="9B12A3B2">
      <w:numFmt w:val="bullet"/>
      <w:lvlText w:val="•"/>
      <w:lvlJc w:val="left"/>
      <w:pPr>
        <w:ind w:left="4476" w:hanging="360"/>
      </w:pPr>
      <w:rPr>
        <w:rFonts w:hint="default"/>
        <w:lang w:val="en-US" w:eastAsia="en-US" w:bidi="ar-SA"/>
      </w:rPr>
    </w:lvl>
    <w:lvl w:ilvl="5" w:tplc="67B06072">
      <w:numFmt w:val="bullet"/>
      <w:lvlText w:val="•"/>
      <w:lvlJc w:val="left"/>
      <w:pPr>
        <w:ind w:left="5242" w:hanging="360"/>
      </w:pPr>
      <w:rPr>
        <w:rFonts w:hint="default"/>
        <w:lang w:val="en-US" w:eastAsia="en-US" w:bidi="ar-SA"/>
      </w:rPr>
    </w:lvl>
    <w:lvl w:ilvl="6" w:tplc="82EADAA0">
      <w:numFmt w:val="bullet"/>
      <w:lvlText w:val="•"/>
      <w:lvlJc w:val="left"/>
      <w:pPr>
        <w:ind w:left="6007" w:hanging="360"/>
      </w:pPr>
      <w:rPr>
        <w:rFonts w:hint="default"/>
        <w:lang w:val="en-US" w:eastAsia="en-US" w:bidi="ar-SA"/>
      </w:rPr>
    </w:lvl>
    <w:lvl w:ilvl="7" w:tplc="CCD20E54">
      <w:numFmt w:val="bullet"/>
      <w:lvlText w:val="•"/>
      <w:lvlJc w:val="left"/>
      <w:pPr>
        <w:ind w:left="6773" w:hanging="360"/>
      </w:pPr>
      <w:rPr>
        <w:rFonts w:hint="default"/>
        <w:lang w:val="en-US" w:eastAsia="en-US" w:bidi="ar-SA"/>
      </w:rPr>
    </w:lvl>
    <w:lvl w:ilvl="8" w:tplc="2430AC0E">
      <w:numFmt w:val="bullet"/>
      <w:lvlText w:val="•"/>
      <w:lvlJc w:val="left"/>
      <w:pPr>
        <w:ind w:left="7538" w:hanging="360"/>
      </w:pPr>
      <w:rPr>
        <w:rFonts w:hint="default"/>
        <w:lang w:val="en-US" w:eastAsia="en-US" w:bidi="ar-SA"/>
      </w:rPr>
    </w:lvl>
  </w:abstractNum>
  <w:num w:numId="1" w16cid:durableId="480729826">
    <w:abstractNumId w:val="0"/>
  </w:num>
  <w:num w:numId="2" w16cid:durableId="475225264">
    <w:abstractNumId w:val="2"/>
  </w:num>
  <w:num w:numId="3" w16cid:durableId="2036035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4C"/>
    <w:rsid w:val="000605DF"/>
    <w:rsid w:val="001C294C"/>
    <w:rsid w:val="003169EA"/>
    <w:rsid w:val="003D3173"/>
    <w:rsid w:val="008A736E"/>
    <w:rsid w:val="008B277E"/>
    <w:rsid w:val="00B27103"/>
    <w:rsid w:val="00D440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D49E"/>
  <w15:docId w15:val="{164C4B6A-AB94-4625-8146-0ECD464F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04" w:hanging="360"/>
      <w:outlineLvl w:val="0"/>
    </w:pPr>
    <w:rPr>
      <w:b/>
      <w:bCs/>
      <w:sz w:val="24"/>
      <w:szCs w:val="24"/>
    </w:rPr>
  </w:style>
  <w:style w:type="paragraph" w:styleId="Heading2">
    <w:name w:val="heading 2"/>
    <w:basedOn w:val="Normal"/>
    <w:uiPriority w:val="9"/>
    <w:unhideWhenUsed/>
    <w:qFormat/>
    <w:pPr>
      <w:ind w:left="23"/>
      <w:outlineLvl w:val="1"/>
    </w:pPr>
    <w:rPr>
      <w:b/>
      <w:bCs/>
      <w:sz w:val="24"/>
      <w:szCs w:val="24"/>
    </w:rPr>
  </w:style>
  <w:style w:type="paragraph" w:styleId="Heading3">
    <w:name w:val="heading 3"/>
    <w:basedOn w:val="Normal"/>
    <w:next w:val="Normal"/>
    <w:link w:val="Heading3Char"/>
    <w:uiPriority w:val="9"/>
    <w:semiHidden/>
    <w:unhideWhenUsed/>
    <w:qFormat/>
    <w:rsid w:val="003D31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4"/>
    </w:pPr>
    <w:rPr>
      <w:sz w:val="24"/>
      <w:szCs w:val="24"/>
    </w:rPr>
  </w:style>
  <w:style w:type="paragraph" w:styleId="ListParagraph">
    <w:name w:val="List Paragraph"/>
    <w:basedOn w:val="Normal"/>
    <w:uiPriority w:val="1"/>
    <w:qFormat/>
    <w:pPr>
      <w:spacing w:before="138"/>
      <w:ind w:left="1824"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3D317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169EA"/>
    <w:rPr>
      <w:color w:val="0000FF" w:themeColor="hyperlink"/>
      <w:u w:val="single"/>
    </w:rPr>
  </w:style>
  <w:style w:type="character" w:styleId="UnresolvedMention">
    <w:name w:val="Unresolved Mention"/>
    <w:basedOn w:val="DefaultParagraphFont"/>
    <w:uiPriority w:val="99"/>
    <w:semiHidden/>
    <w:unhideWhenUsed/>
    <w:rsid w:val="00316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ichaaputrielga@gmail.com" TargetMode="External"/><Relationship Id="rId13" Type="http://schemas.openxmlformats.org/officeDocument/2006/relationships/hyperlink" Target="mailto:septiarimadhona4@gmail.com" TargetMode="External"/><Relationship Id="rId18" Type="http://schemas.openxmlformats.org/officeDocument/2006/relationships/hyperlink" Target="https://doi.org/10.1108/IJIF-07-2017-00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ditaagustin5245@gmail.com1" TargetMode="External"/><Relationship Id="rId12" Type="http://schemas.openxmlformats.org/officeDocument/2006/relationships/hyperlink" Target="mailto:septiarimadhona4@gmail.com" TargetMode="External"/><Relationship Id="rId17" Type="http://schemas.openxmlformats.org/officeDocument/2006/relationships/hyperlink" Target="https://doi.org/10.1016/j.bir.2013.10.003" TargetMode="External"/><Relationship Id="rId2" Type="http://schemas.openxmlformats.org/officeDocument/2006/relationships/numbering" Target="numbering.xml"/><Relationship Id="rId16" Type="http://schemas.openxmlformats.org/officeDocument/2006/relationships/hyperlink" Target="https://doi.org/10.1057/s41283-023-00135-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itaagustin5245@gmail.com1" TargetMode="External"/><Relationship Id="rId11" Type="http://schemas.openxmlformats.org/officeDocument/2006/relationships/hyperlink" Target="mailto:safiraindrianti71@gmail.com" TargetMode="External"/><Relationship Id="rId5" Type="http://schemas.openxmlformats.org/officeDocument/2006/relationships/webSettings" Target="webSettings.xml"/><Relationship Id="rId15" Type="http://schemas.openxmlformats.org/officeDocument/2006/relationships/hyperlink" Target="https://doi.org/10.1016/j.jbankfin.2012.09.016" TargetMode="External"/><Relationship Id="rId10" Type="http://schemas.openxmlformats.org/officeDocument/2006/relationships/hyperlink" Target="mailto:safiraindrianti71@gmail.com" TargetMode="External"/><Relationship Id="rId19" Type="http://schemas.openxmlformats.org/officeDocument/2006/relationships/hyperlink" Target="https://doi.org/10.1016/j.bir.2015.10.001" TargetMode="External"/><Relationship Id="rId4" Type="http://schemas.openxmlformats.org/officeDocument/2006/relationships/settings" Target="settings.xml"/><Relationship Id="rId9" Type="http://schemas.openxmlformats.org/officeDocument/2006/relationships/hyperlink" Target="mailto:elichaaputrielga@gmail.com" TargetMode="External"/><Relationship Id="rId14" Type="http://schemas.openxmlformats.org/officeDocument/2006/relationships/hyperlink" Target="https://doi.org/10.1108/9781800437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DA9EF-B976-4C66-81DB-8BAE6538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6275</Words>
  <Characters>35769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Hype AMD</dc:creator>
  <cp:lastModifiedBy>e43215</cp:lastModifiedBy>
  <cp:revision>2</cp:revision>
  <dcterms:created xsi:type="dcterms:W3CDTF">2026-04-29T17:32:00Z</dcterms:created>
  <dcterms:modified xsi:type="dcterms:W3CDTF">2026-04-29T17:32:00Z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Microsoft® Word 2016</vt:lpwstr>
  </property>
  <property fmtid="{D5CDD505-2E9C-101B-9397-08002B2CF9AE}" pid="5" name="LastSaved">
    <vt:filetime>2026-04-29T00:00:00Z</vt:filetime>
  </property>
  <property fmtid="{D5CDD505-2E9C-101B-9397-08002B2CF9AE}" pid="6" name="Producer">
    <vt:lpwstr>www.ilovepdf.com</vt:lpwstr>
  </property>
</Properties>
</file>