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CAFF" w14:textId="77777777" w:rsidR="00B27103" w:rsidRPr="003169EA" w:rsidRDefault="000605DF" w:rsidP="003169EA">
      <w:pPr>
        <w:pStyle w:val="Heading2"/>
        <w:spacing w:before="78" w:line="396" w:lineRule="auto"/>
        <w:ind w:left="38" w:right="44"/>
        <w:jc w:val="center"/>
        <w:rPr>
          <w:sz w:val="28"/>
          <w:szCs w:val="28"/>
        </w:rPr>
      </w:pPr>
      <w:r w:rsidRPr="003169EA">
        <w:rPr>
          <w:sz w:val="28"/>
          <w:szCs w:val="28"/>
        </w:rPr>
        <w:t>Role</w:t>
      </w:r>
      <w:r w:rsidRPr="003169EA">
        <w:rPr>
          <w:spacing w:val="-4"/>
          <w:sz w:val="28"/>
          <w:szCs w:val="28"/>
        </w:rPr>
        <w:t xml:space="preserve"> </w:t>
      </w:r>
      <w:r w:rsidRPr="003169EA">
        <w:rPr>
          <w:sz w:val="28"/>
          <w:szCs w:val="28"/>
        </w:rPr>
        <w:t>Policy</w:t>
      </w:r>
      <w:r w:rsidRPr="003169EA">
        <w:rPr>
          <w:spacing w:val="-4"/>
          <w:sz w:val="28"/>
          <w:szCs w:val="28"/>
        </w:rPr>
        <w:t xml:space="preserve"> </w:t>
      </w:r>
      <w:r w:rsidRPr="003169EA">
        <w:rPr>
          <w:sz w:val="28"/>
          <w:szCs w:val="28"/>
        </w:rPr>
        <w:t>Fiscal</w:t>
      </w:r>
      <w:r w:rsidRPr="003169EA">
        <w:rPr>
          <w:spacing w:val="-8"/>
          <w:sz w:val="28"/>
          <w:szCs w:val="28"/>
        </w:rPr>
        <w:t xml:space="preserve"> </w:t>
      </w:r>
      <w:r w:rsidRPr="003169EA">
        <w:rPr>
          <w:sz w:val="28"/>
          <w:szCs w:val="28"/>
        </w:rPr>
        <w:t>And</w:t>
      </w:r>
      <w:r w:rsidRPr="003169EA">
        <w:rPr>
          <w:spacing w:val="-4"/>
          <w:sz w:val="28"/>
          <w:szCs w:val="28"/>
        </w:rPr>
        <w:t xml:space="preserve"> </w:t>
      </w:r>
      <w:r w:rsidRPr="003169EA">
        <w:rPr>
          <w:sz w:val="28"/>
          <w:szCs w:val="28"/>
        </w:rPr>
        <w:t>Monetary</w:t>
      </w:r>
      <w:r w:rsidRPr="003169EA">
        <w:rPr>
          <w:spacing w:val="-14"/>
          <w:sz w:val="28"/>
          <w:szCs w:val="28"/>
        </w:rPr>
        <w:t xml:space="preserve"> </w:t>
      </w:r>
      <w:r w:rsidRPr="003169EA">
        <w:rPr>
          <w:sz w:val="28"/>
          <w:szCs w:val="28"/>
        </w:rPr>
        <w:t>In</w:t>
      </w:r>
      <w:r w:rsidRPr="003169EA">
        <w:rPr>
          <w:spacing w:val="-6"/>
          <w:sz w:val="28"/>
          <w:szCs w:val="28"/>
        </w:rPr>
        <w:t xml:space="preserve"> </w:t>
      </w:r>
      <w:r w:rsidRPr="003169EA">
        <w:rPr>
          <w:sz w:val="28"/>
          <w:szCs w:val="28"/>
        </w:rPr>
        <w:t>Realize</w:t>
      </w:r>
      <w:r w:rsidRPr="003169EA">
        <w:rPr>
          <w:spacing w:val="-4"/>
          <w:sz w:val="28"/>
          <w:szCs w:val="28"/>
        </w:rPr>
        <w:t xml:space="preserve"> </w:t>
      </w:r>
      <w:r w:rsidRPr="003169EA">
        <w:rPr>
          <w:sz w:val="28"/>
          <w:szCs w:val="28"/>
        </w:rPr>
        <w:t>Stability</w:t>
      </w:r>
      <w:r w:rsidRPr="003169EA">
        <w:rPr>
          <w:spacing w:val="-6"/>
          <w:sz w:val="28"/>
          <w:szCs w:val="28"/>
        </w:rPr>
        <w:t xml:space="preserve"> </w:t>
      </w:r>
      <w:r w:rsidRPr="003169EA">
        <w:rPr>
          <w:sz w:val="28"/>
          <w:szCs w:val="28"/>
        </w:rPr>
        <w:t>Economy</w:t>
      </w:r>
      <w:r w:rsidRPr="003169EA">
        <w:rPr>
          <w:spacing w:val="-4"/>
          <w:sz w:val="28"/>
          <w:szCs w:val="28"/>
        </w:rPr>
        <w:t xml:space="preserve"> </w:t>
      </w:r>
      <w:r w:rsidRPr="003169EA">
        <w:rPr>
          <w:sz w:val="28"/>
          <w:szCs w:val="28"/>
        </w:rPr>
        <w:t>Islam</w:t>
      </w:r>
    </w:p>
    <w:p w14:paraId="759CA21B" w14:textId="77777777" w:rsidR="00B27103" w:rsidRDefault="00B27103" w:rsidP="003D3173">
      <w:pPr>
        <w:pStyle w:val="Heading2"/>
        <w:spacing w:before="78" w:line="396" w:lineRule="auto"/>
        <w:ind w:left="38" w:right="44"/>
        <w:jc w:val="both"/>
      </w:pPr>
    </w:p>
    <w:p w14:paraId="046A57FF" w14:textId="76433767" w:rsidR="001C294C" w:rsidRDefault="000605DF" w:rsidP="003169EA">
      <w:pPr>
        <w:pStyle w:val="Heading2"/>
        <w:spacing w:before="78" w:line="396" w:lineRule="auto"/>
        <w:ind w:left="38" w:right="44"/>
        <w:jc w:val="center"/>
      </w:pPr>
      <w:r>
        <w:t xml:space="preserve">Dita Agustin </w:t>
      </w:r>
      <w:r>
        <w:rPr>
          <w:vertAlign w:val="superscript"/>
        </w:rPr>
        <w:t xml:space="preserve">1 </w:t>
      </w:r>
      <w:r>
        <w:t xml:space="preserve">, Elicha Putri Elga </w:t>
      </w:r>
      <w:r>
        <w:rPr>
          <w:vertAlign w:val="superscript"/>
        </w:rPr>
        <w:t xml:space="preserve">2 </w:t>
      </w:r>
      <w:r>
        <w:t xml:space="preserve">, Safira Indrianti </w:t>
      </w:r>
      <w:r>
        <w:rPr>
          <w:vertAlign w:val="superscript"/>
        </w:rPr>
        <w:t xml:space="preserve">3 </w:t>
      </w:r>
      <w:r>
        <w:t xml:space="preserve">, Septia Rimadhona </w:t>
      </w:r>
      <w:r>
        <w:rPr>
          <w:vertAlign w:val="superscript"/>
        </w:rPr>
        <w:t>4</w:t>
      </w:r>
    </w:p>
    <w:p w14:paraId="7EBE88EE" w14:textId="5943CC71" w:rsidR="001C294C" w:rsidRDefault="003169EA" w:rsidP="003169EA">
      <w:pPr>
        <w:spacing w:before="7" w:line="247" w:lineRule="auto"/>
        <w:ind w:left="5" w:right="1"/>
        <w:jc w:val="center"/>
        <w:rPr>
          <w:rFonts w:ascii="Calibri"/>
          <w:sz w:val="24"/>
        </w:rPr>
      </w:pPr>
      <w:hyperlink r:id="rId6" w:history="1">
        <w:r w:rsidRPr="00312A84">
          <w:rPr>
            <w:rStyle w:val="Hyperlink"/>
            <w:i/>
            <w:sz w:val="24"/>
          </w:rPr>
          <w:t xml:space="preserve">ditaagustin5245@gmail.com </w:t>
        </w:r>
      </w:hyperlink>
      <w:hyperlink r:id="rId7" w:history="1">
        <w:r w:rsidRPr="00312A84">
          <w:rPr>
            <w:rStyle w:val="Hyperlink"/>
            <w:rFonts w:ascii="Calibri"/>
            <w:sz w:val="24"/>
            <w:vertAlign w:val="superscript"/>
          </w:rPr>
          <w:t xml:space="preserve">1 </w:t>
        </w:r>
      </w:hyperlink>
      <w:r>
        <w:rPr>
          <w:i/>
          <w:sz w:val="24"/>
        </w:rPr>
        <w:t>,</w:t>
      </w:r>
      <w:r>
        <w:rPr>
          <w:i/>
          <w:spacing w:val="-15"/>
          <w:sz w:val="24"/>
        </w:rPr>
        <w:t xml:space="preserve"> </w:t>
      </w:r>
      <w:hyperlink r:id="rId8">
        <w:r>
          <w:rPr>
            <w:i/>
            <w:color w:val="0462C1"/>
            <w:sz w:val="24"/>
            <w:u w:val="single" w:color="0462C1"/>
          </w:rPr>
          <w:t xml:space="preserve">elichaaputrielga@gmail.com </w:t>
        </w:r>
      </w:hyperlink>
      <w:hyperlink r:id="rId9">
        <w:r>
          <w:rPr>
            <w:rFonts w:ascii="Calibri"/>
            <w:sz w:val="24"/>
            <w:vertAlign w:val="superscript"/>
          </w:rPr>
          <w:t xml:space="preserve">2 </w:t>
        </w:r>
      </w:hyperlink>
      <w:r>
        <w:rPr>
          <w:i/>
          <w:sz w:val="24"/>
        </w:rPr>
        <w:t xml:space="preserve">, </w:t>
      </w:r>
      <w:hyperlink r:id="rId10">
        <w:r>
          <w:rPr>
            <w:i/>
            <w:color w:val="0462C1"/>
            <w:sz w:val="24"/>
            <w:u w:val="single" w:color="0462C1"/>
          </w:rPr>
          <w:t xml:space="preserve">safiraindrianti71@gmail.com </w:t>
        </w:r>
      </w:hyperlink>
      <w:hyperlink r:id="rId11">
        <w:r>
          <w:rPr>
            <w:rFonts w:ascii="Calibri"/>
            <w:sz w:val="24"/>
            <w:vertAlign w:val="superscript"/>
          </w:rPr>
          <w:t xml:space="preserve">3 </w:t>
        </w:r>
      </w:hyperlink>
      <w:r>
        <w:rPr>
          <w:i/>
          <w:sz w:val="24"/>
        </w:rPr>
        <w:t xml:space="preserve">, </w:t>
      </w:r>
      <w:hyperlink r:id="rId12">
        <w:r>
          <w:rPr>
            <w:i/>
            <w:color w:val="0462C1"/>
            <w:sz w:val="24"/>
            <w:u w:val="single" w:color="0462C1"/>
          </w:rPr>
          <w:t xml:space="preserve">septiarimadhona4@gmail.com </w:t>
        </w:r>
      </w:hyperlink>
      <w:hyperlink r:id="rId13">
        <w:r>
          <w:rPr>
            <w:rFonts w:ascii="Calibri"/>
            <w:sz w:val="24"/>
            <w:vertAlign w:val="superscript"/>
          </w:rPr>
          <w:t>4</w:t>
        </w:r>
      </w:hyperlink>
    </w:p>
    <w:p w14:paraId="6E98149C" w14:textId="4AC19AEB" w:rsidR="001C294C" w:rsidRDefault="003169EA" w:rsidP="003D3173">
      <w:pPr>
        <w:pStyle w:val="BodyText"/>
        <w:spacing w:before="160" w:line="259" w:lineRule="auto"/>
        <w:ind w:left="5"/>
        <w:jc w:val="both"/>
      </w:pPr>
      <w:r w:rsidRPr="003169EA">
        <w:rPr>
          <w:vertAlign w:val="superscript"/>
        </w:rPr>
        <w:t xml:space="preserve">1234 </w:t>
      </w:r>
      <w:r>
        <w:t>Faculties</w:t>
      </w:r>
      <w:r>
        <w:rPr>
          <w:spacing w:val="-3"/>
        </w:rPr>
        <w:t xml:space="preserve"> </w:t>
      </w:r>
      <w:r>
        <w:t>Economy</w:t>
      </w:r>
      <w:r>
        <w:rPr>
          <w:spacing w:val="-9"/>
        </w:rPr>
        <w:t xml:space="preserve"> </w:t>
      </w:r>
      <w:r>
        <w:t>And</w:t>
      </w:r>
      <w:r>
        <w:rPr>
          <w:spacing w:val="-5"/>
        </w:rPr>
        <w:t xml:space="preserve"> </w:t>
      </w:r>
      <w:r>
        <w:t>Business</w:t>
      </w:r>
      <w:r>
        <w:rPr>
          <w:spacing w:val="-3"/>
        </w:rPr>
        <w:t xml:space="preserve"> </w:t>
      </w:r>
      <w:r>
        <w:t>Islam, University</w:t>
      </w:r>
      <w:r>
        <w:rPr>
          <w:spacing w:val="-3"/>
        </w:rPr>
        <w:t xml:space="preserve"> </w:t>
      </w:r>
      <w:r>
        <w:t>Islamic State of Raden Intan Lampung, Indonesia</w:t>
      </w:r>
    </w:p>
    <w:p w14:paraId="5B5B9224" w14:textId="77777777" w:rsidR="001C294C" w:rsidRDefault="001C294C" w:rsidP="003D3173">
      <w:pPr>
        <w:pStyle w:val="BodyText"/>
        <w:ind w:left="0"/>
        <w:jc w:val="both"/>
      </w:pPr>
    </w:p>
    <w:p w14:paraId="63025774" w14:textId="77777777" w:rsidR="001C294C" w:rsidRDefault="001C294C" w:rsidP="003D3173">
      <w:pPr>
        <w:pStyle w:val="BodyText"/>
        <w:spacing w:before="71"/>
        <w:ind w:left="0"/>
        <w:jc w:val="both"/>
      </w:pPr>
    </w:p>
    <w:p w14:paraId="30F28382" w14:textId="77777777" w:rsidR="003D3173" w:rsidRPr="003169EA" w:rsidRDefault="003D3173" w:rsidP="003D3173">
      <w:pPr>
        <w:widowControl/>
        <w:autoSpaceDE/>
        <w:autoSpaceDN/>
        <w:spacing w:before="100" w:beforeAutospacing="1" w:after="100" w:afterAutospacing="1"/>
        <w:jc w:val="both"/>
        <w:outlineLvl w:val="1"/>
        <w:rPr>
          <w:b/>
          <w:bCs/>
          <w:sz w:val="24"/>
          <w:szCs w:val="24"/>
          <w:lang w:val="en-ID" w:eastAsia="en-ID"/>
        </w:rPr>
      </w:pPr>
      <w:r w:rsidRPr="003169EA">
        <w:rPr>
          <w:b/>
          <w:bCs/>
          <w:sz w:val="24"/>
          <w:szCs w:val="24"/>
          <w:lang w:val="en-ID" w:eastAsia="en-ID"/>
        </w:rPr>
        <w:t>Abstract</w:t>
      </w:r>
    </w:p>
    <w:p w14:paraId="62ABD13D" w14:textId="77777777" w:rsidR="003D3173" w:rsidRPr="003D3173" w:rsidRDefault="003D3173" w:rsidP="003D3173">
      <w:pPr>
        <w:widowControl/>
        <w:autoSpaceDE/>
        <w:autoSpaceDN/>
        <w:spacing w:before="100" w:beforeAutospacing="1" w:after="100" w:afterAutospacing="1"/>
        <w:jc w:val="both"/>
        <w:rPr>
          <w:i/>
          <w:iCs/>
          <w:sz w:val="24"/>
          <w:szCs w:val="24"/>
          <w:lang w:val="en-ID" w:eastAsia="en-ID"/>
        </w:rPr>
      </w:pPr>
      <w:r w:rsidRPr="003D3173">
        <w:rPr>
          <w:i/>
          <w:iCs/>
          <w:sz w:val="24"/>
          <w:szCs w:val="24"/>
          <w:lang w:val="en-ID" w:eastAsia="en-ID"/>
        </w:rPr>
        <w:t>Economic stability is the primary objective of the Islamic economic system because it is directly related to the protection of welfare, distributive justice, sustainable growth, and the prevention of social damage caused by poverty, inflation, inequality, and financial crises. This article discusses the role of fiscal and monetary policies in realizing Islamic economic stability by placing the principles of maqāṣid al-sharī'ah, the prohibition of usury, justice, social responsibility, and the relationship between the financial sector and the real sector as the main analytical framework. The research method used is a literature study with a qualitative descriptive-analytical approach to academic literature, journal articles, scientific books, and the results of recent research on zakat, waqf, sukuk, Islamic banking, financial stability, and the transmission of monetary policy in the Islamic financial system. The results of the discussion show that Islamic fiscal policy works not only through taxes and state spending, but also through instruments of zakat, infaq, sedekah, waqf, and public asset management that aim to strengthen the purchasing power of vulnerable groups, reduce inequality, and maintain aggregate demand. Meanwhile, Islamic monetary policy is aimed at maintaining the stability of the value of money, controlling liquidity, encouraging productive financing, and avoiding excessive speculation. Synergy between the two is necessary so that economic stability is not only defined as low inflation and positive growth, but also as achieving social justice, financial inclusion, balance between the real and financial sectors, and sustainable public welfare.</w:t>
      </w:r>
    </w:p>
    <w:p w14:paraId="7487082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b/>
          <w:bCs/>
          <w:sz w:val="24"/>
          <w:szCs w:val="24"/>
          <w:lang w:val="en-ID" w:eastAsia="en-ID"/>
        </w:rPr>
        <w:t xml:space="preserve">Keywords: </w:t>
      </w:r>
      <w:r w:rsidRPr="003D3173">
        <w:rPr>
          <w:sz w:val="24"/>
          <w:szCs w:val="24"/>
          <w:lang w:val="en-ID" w:eastAsia="en-ID"/>
        </w:rPr>
        <w:t>Islamic fiscal policy, Islamic monetary policy, economic stability, zakat, waqf, sukuk, maqāṣid al-sharī'ah.</w:t>
      </w:r>
    </w:p>
    <w:p w14:paraId="7B505E5C" w14:textId="77777777" w:rsidR="003D3173" w:rsidRPr="003169EA" w:rsidRDefault="003D3173" w:rsidP="003D3173">
      <w:pPr>
        <w:widowControl/>
        <w:autoSpaceDE/>
        <w:autoSpaceDN/>
        <w:spacing w:before="100" w:beforeAutospacing="1" w:after="100" w:afterAutospacing="1"/>
        <w:jc w:val="both"/>
        <w:outlineLvl w:val="1"/>
        <w:rPr>
          <w:b/>
          <w:bCs/>
          <w:sz w:val="24"/>
          <w:szCs w:val="24"/>
          <w:lang w:val="en-ID" w:eastAsia="en-ID"/>
        </w:rPr>
      </w:pPr>
      <w:r w:rsidRPr="003169EA">
        <w:rPr>
          <w:b/>
          <w:bCs/>
          <w:sz w:val="24"/>
          <w:szCs w:val="24"/>
          <w:lang w:val="en-ID" w:eastAsia="en-ID"/>
        </w:rPr>
        <w:t>Introduction</w:t>
      </w:r>
    </w:p>
    <w:p w14:paraId="5540F76A"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Economic stability is a fundamental goal of modern economic development. Conventionally, economic stability is generally measured through indicators such as gross domestic product growth, controlled inflation, low unemployment, exchange rate stability, fiscal sustainability, and a healthy financial system. However, from an Islamic economic perspective, economic stability encompasses a broader scope. Stability encompasses not only controlled macroeconomic fluctuations but also the creation of distributive justice, protection for vulnerable groups, the sustainability of production activities, and the maintenance of public welfare. Therefore, Islamic economic stability is inseparable from the principle of maqāṣid al-sharī'ah (the protection of religion, life, intellect, lineage, and property). A stable economy in Islam is one that maintains the value of assets, prevents the accumulation of wealth in certain groups, connects financial activities with the real sector, and ensures that public policies are directed towards the general welfare, not merely statistical growth.</w:t>
      </w:r>
    </w:p>
    <w:p w14:paraId="3860916C"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In this context, fiscal and monetary policies play a crucial role. Fiscal policy relates to how the state manages public revenue and expenditure to influence economic activity. In Islamic economics, fiscal policy stems not only from taxes and state spending, but also from specific instruments such as zakat, infaq, sadaqah, waqf, kharāj, 'ushr, jizyah (in historical context), and the trustworthy management of public wealth. Zakat, for example, is not merely an individual act of worship but also a redistributive instrument with the potential to maintain consumption by the mustahik (beneficiary), strengthen aggregate demand, and reduce poverty. Several studies have shown that zakat can contribute to growth and poverty reduction when managed institutionally, productively, and integrated with development policies (Ben Jedidia &amp; Guerbouj, 2021; Gunawan et al., 2025; Huda et al., 2025; Kasri et al., 2025). Waqf also has the potential as a source of long-term social financing because of its sustainable nature and can be directed towards education, health, social infrastructure, and community economic empowerment (Abdullah, 2018; Shaikh et al., 2017).</w:t>
      </w:r>
    </w:p>
    <w:p w14:paraId="6BB7B5FF"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Meanwhile, monetary policy is concerned with managing the money supply, liquidity, financing, the value of money, and the stability of the financial system. In conventional systems, the primary instrument of monetary policy often centers on the interest rate. Islamic economics is fundamentally different because it prohibits usury (riba) and rejects profits obtained without linkage to risk, assets, and productive activities. Therefore, Islamic monetary policy needs to be designed with Sharia-compliant instruments, such as sukuk-based open market operations, mandatory reserve management, Sharia-compliant liquidity facilities, profit-sharing instruments, and real-sector-oriented financing arrangements. The main principles of Islamic monetary policy are to maintain the value of money against inflation, prevent speculative credit expansion, and ensure liquidity flows to productive, halal, and beneficial activities. Several studies have shown that the Islamic banking system has certain stability characteristics, mainly due to its linkage to real assets, restrictions on speculation, and the principle of risk sharing, although empirical evidence also shows that the stability of Islamic banks remains dependent on bank size, governance, liquidity, capitalization, and macroeconomic conditions (Abedifar et al., 2013; Beck et al., 2013; Bourkhis &amp; Nabi, 2013; Čihák &amp; Hesse, 2010; Pappas et al., 2017).</w:t>
      </w:r>
    </w:p>
    <w:p w14:paraId="01CDE8B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A major problem that frequently arises in the implementation of Islamic fiscal and monetary policies is the suboptimal integration of sharia instruments with modern public policy systems. In many Muslim countries, zakat and waqf still operate parallel to the state fiscal system, rather than as a truly integrated part of the national economic stabilization strategy. As a result, zakat's potential as an automatic stabilizer is not maximized. During crises, zakat should strengthen the social safety net and maintain consumption among the poor, but limitations in mustahik data, institutional coordination, public literacy, and governance prevent this role from being fully effective. Similarly, productive waqf still faces challenges in regulation, nazir professionalism, transparency, and sustainable business models. Yet, waqf can be a social development financing instrument that reduces pressure on state spending and strengthens long-term stability.</w:t>
      </w:r>
    </w:p>
    <w:p w14:paraId="53651EFA"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On the monetary side, challenges arise because many countries implement a dual financial system, with Islamic banking operating alongside conventional banking. In such a system, monetary policy transmission is often still influenced by conventional interest rates. Islamic banks, although not principally interest-bearing, can still be impacted by changes in market interest rates, inflation expectations, exchange rates, and conventional liquidity conditions. Therefore, the development of liquid, credible Islamic monetary instruments compatible with financial system stability is an urgent need. Sovereign sukuk, for example, can be used not only as a fiscal financing instrument but also as an instrument for Islamic monetary operations. The development of a healthy sukuk market can deepen the Islamic financial market, provide liquidity for Islamic banks, and strengthen the link between fiscal and monetary policy (Said &amp; Grassa, 2013; Smaoui &amp; Nechi, 2017).</w:t>
      </w:r>
    </w:p>
    <w:p w14:paraId="696231A4"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Based on this background, this article aims to analyze the role of fiscal and monetary policies in achieving Islamic economic stability. It also explains how Islamic fiscal instruments such as zakat, waqf, and public spending can interact with Islamic monetary policies such as liquidity control, Islamic financing, and financial system stability. The discussion is directed at the argument that Islamic economic stability can only be achieved if fiscal and monetary policies are not implemented separately but are coordinated within the framework of maqāṣid al-sharī'ah (obligatory principles of Islamic law), distributive justice, fiscal discipline, price stability, and real sector financing.</w:t>
      </w:r>
    </w:p>
    <w:p w14:paraId="771742BB" w14:textId="77777777" w:rsidR="003D3173" w:rsidRPr="003D3173" w:rsidRDefault="003D3173" w:rsidP="003D3173">
      <w:pPr>
        <w:widowControl/>
        <w:autoSpaceDE/>
        <w:autoSpaceDN/>
        <w:spacing w:before="100" w:beforeAutospacing="1" w:after="100" w:afterAutospacing="1"/>
        <w:jc w:val="both"/>
        <w:outlineLvl w:val="1"/>
        <w:rPr>
          <w:b/>
          <w:bCs/>
          <w:sz w:val="24"/>
          <w:szCs w:val="24"/>
          <w:lang w:val="en-ID" w:eastAsia="en-ID"/>
        </w:rPr>
      </w:pPr>
      <w:r w:rsidRPr="003D3173">
        <w:rPr>
          <w:b/>
          <w:bCs/>
          <w:sz w:val="24"/>
          <w:szCs w:val="24"/>
          <w:lang w:val="en-ID" w:eastAsia="en-ID"/>
        </w:rPr>
        <w:t>Research methods</w:t>
      </w:r>
    </w:p>
    <w:p w14:paraId="5267FE30"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This study uses a qualitative method with a library research approach. This approach was chosen because the focus of the article is to understand, analyze, and synthesize concepts, theories, and empirical findings regarding the role of fiscal and monetary policy in achieving Islamic economic stability. The library study allows researchers to explore various relevant scientific sources, including international journal articles and national journal articles, academic books, book chapters, and empirical research results that discuss Islamic banking stability, Islamic fiscal instruments, zakat, waqf, sukuk, monetary policy transmission, and maqāṣid al-sharī'ah.</w:t>
      </w:r>
    </w:p>
    <w:p w14:paraId="7A8F53D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The data sources used in this study are secondary data. Secondary data were obtained from scientific publications with DOI (Domain Information Index), primarily journal articles discussing Islamic economics, Islamic finance, fiscal policy, monetary policy, Islamic banking, financial stability, zakat, waqf, and sukuk. References were selected based on topic relevance, publisher quality, relevance to economic stability issues, and DOI availability. The literature used encompasses both classical and recent research. Classical literature is needed to explain the theoretical foundations of Islamic economics, while recent literature is used to demonstrate empirical developments and contemporary challenges in Islamic fiscal and monetary policy.</w:t>
      </w:r>
    </w:p>
    <w:p w14:paraId="678F9E11"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The analysis technique used is descriptive-analytical analysis. First, the author identifies the main concepts related to Islamic economic stability, namely maqāṣid al-sharī'ah, distributive justice, the prohibition of usury, the linkage of the financial sector with the real sector, and protection of vulnerable groups. Second, the author groups Islamic fiscal policy instruments into several categories, namely redistribution instruments such as zakat, philanthropic instruments such as infaq and sedekah, social asset instruments such as waqf, and state instruments such as taxes, public spending, and sukuk. Third, the author groups Islamic monetary policy instruments into aspects of liquidity control, profit-sharing-based financing, Islamic money market instruments, sukuk-based monetary operations, and Islamic banking stability. Fourth, the author analyzes the relationship between fiscal and monetary policies in shaping Islamic economic stability.</w:t>
      </w:r>
    </w:p>
    <w:p w14:paraId="0BAFD8E8"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The validity of the analysis is maintained through triangulation of literature sources. This means that conclusions are not based solely on a single source but are compared with various conceptual and empirical studies. For example, the role of zakat in economic stability is analyzed by referring to studies on zakat and economic growth, zakat and poverty, and zakat as a fiscal instrument. Meanwhile, Islamic monetary stability is analyzed by comparing studies on Islamic banking stability, systemic risk, the sukuk market, and monetary policy transmission in a dual financial system. In this way, the article not only presents normative ideas but also considers empirical evidence and implementation challenges.</w:t>
      </w:r>
    </w:p>
    <w:p w14:paraId="7420F0E1" w14:textId="77777777" w:rsidR="003D3173" w:rsidRPr="003D3173" w:rsidRDefault="003D3173" w:rsidP="003D3173">
      <w:pPr>
        <w:widowControl/>
        <w:autoSpaceDE/>
        <w:autoSpaceDN/>
        <w:spacing w:before="100" w:beforeAutospacing="1" w:after="100" w:afterAutospacing="1"/>
        <w:jc w:val="both"/>
        <w:outlineLvl w:val="1"/>
        <w:rPr>
          <w:b/>
          <w:bCs/>
          <w:sz w:val="24"/>
          <w:szCs w:val="24"/>
          <w:lang w:val="en-ID" w:eastAsia="en-ID"/>
        </w:rPr>
      </w:pPr>
      <w:r w:rsidRPr="003D3173">
        <w:rPr>
          <w:b/>
          <w:bCs/>
          <w:sz w:val="24"/>
          <w:szCs w:val="24"/>
          <w:lang w:val="en-ID" w:eastAsia="en-ID"/>
        </w:rPr>
        <w:t>Results and Discussion</w:t>
      </w:r>
    </w:p>
    <w:p w14:paraId="2EC5D536" w14:textId="77777777" w:rsidR="003D3173" w:rsidRPr="003D3173" w:rsidRDefault="003D3173" w:rsidP="003D3173">
      <w:pPr>
        <w:widowControl/>
        <w:autoSpaceDE/>
        <w:autoSpaceDN/>
        <w:spacing w:before="100" w:beforeAutospacing="1" w:after="100" w:afterAutospacing="1"/>
        <w:jc w:val="both"/>
        <w:outlineLvl w:val="2"/>
        <w:rPr>
          <w:b/>
          <w:bCs/>
          <w:sz w:val="24"/>
          <w:szCs w:val="24"/>
          <w:lang w:val="en-ID" w:eastAsia="en-ID"/>
        </w:rPr>
      </w:pPr>
      <w:r w:rsidRPr="003D3173">
        <w:rPr>
          <w:b/>
          <w:bCs/>
          <w:sz w:val="24"/>
          <w:szCs w:val="24"/>
          <w:lang w:val="en-ID" w:eastAsia="en-ID"/>
        </w:rPr>
        <w:t>1. The Concept of Economic Stability from an Islamic Perspective</w:t>
      </w:r>
    </w:p>
    <w:p w14:paraId="76913AA0"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Economic stability from an Islamic perspective cannot be understood solely through macroeconomic indicators such as low inflation, positive economic growth, and a controlled fiscal deficit. Islam views the economy as part of a moral and social order aimed at creating welfare. Therefore, Islamic economic stability must encompass both material and spiritual dimensions. Material stability is reflected in the availability of basic necessities, low poverty, controlled prices, employment, and the healthy functioning of financial institutions. Spiritual and moral stability are reflected in fair transactions, the prohibition of exploitation, honesty in markets, trustworthiness in wealth management, and a public policy orientation toward the welfare of the people.</w:t>
      </w:r>
    </w:p>
    <w:p w14:paraId="3C830D4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Maqāṣid al-sharī'ah is an important foundation for understanding Islamic economic stability. Protecting wealth not only means safeguarding individual ownership but also ensuring that wealth is not acquired through wrongful means and does not circulate only among the wealthy. This principle provides the basis for redistribution policies through zakat, infaq, sadaqah, waqf, and state social spending. Protecting the soul relates to the provision of basic needs, health, food, and protection from extreme poverty. Protecting the mind relates to education and economic literacy. Protecting offspring relates to the sustainability of family well-being. Thus, Islamic economic stability is always linked to multidimensional well-being.</w:t>
      </w:r>
    </w:p>
    <w:p w14:paraId="0AA2228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In an Islamic economic system, instability can stem from several factors. First, extreme inequality in wealth distribution can weaken aggregate demand, increase social jealousy, and hinder economic mobility. Second, speculation and transactions not based on real assets can create financial bubbles. Third, usury practices can create an imbalanced debt burden between capital owners and business actors. Fourth, weak fiscal governance can lead to waste, corruption, and unproductive spending. Fifth, weak monetary stability can trigger inflation, currency depreciation, and investment uncertainty.</w:t>
      </w:r>
    </w:p>
    <w:p w14:paraId="09129F69"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Therefore, Islamic economic stability requires synergy between fiscal and monetary policies. Fiscal policy plays a role in strengthening distribution, providing public goods, protecting vulnerable groups, and encouraging productive activity. Monetary policy plays a role in maintaining the value of money, regulating liquidity, strengthening financial intermediation, and controlling systemic risk. If fiscal policy is too expansionary without discipline, inflation and financing burdens can increase. If monetary policy is too tight without considering the real sector, productive financing can weaken. In an Islamic economy, coordination between the two must be aimed at balancing price stability, distributive justice, and productive growth.</w:t>
      </w:r>
    </w:p>
    <w:p w14:paraId="2A7A2BE1" w14:textId="77777777" w:rsidR="003D3173" w:rsidRPr="003D3173" w:rsidRDefault="003D3173" w:rsidP="003D3173">
      <w:pPr>
        <w:widowControl/>
        <w:autoSpaceDE/>
        <w:autoSpaceDN/>
        <w:spacing w:before="100" w:beforeAutospacing="1" w:after="100" w:afterAutospacing="1"/>
        <w:jc w:val="both"/>
        <w:outlineLvl w:val="2"/>
        <w:rPr>
          <w:b/>
          <w:bCs/>
          <w:sz w:val="24"/>
          <w:szCs w:val="24"/>
          <w:lang w:val="en-ID" w:eastAsia="en-ID"/>
        </w:rPr>
      </w:pPr>
      <w:r w:rsidRPr="003D3173">
        <w:rPr>
          <w:b/>
          <w:bCs/>
          <w:sz w:val="27"/>
          <w:szCs w:val="27"/>
          <w:lang w:val="en-ID" w:eastAsia="en-ID"/>
        </w:rPr>
        <w:t xml:space="preserve">2. </w:t>
      </w:r>
      <w:r w:rsidRPr="003D3173">
        <w:rPr>
          <w:b/>
          <w:bCs/>
          <w:sz w:val="24"/>
          <w:szCs w:val="24"/>
          <w:lang w:val="en-ID" w:eastAsia="en-ID"/>
        </w:rPr>
        <w:t>The Role of Islamic Fiscal Policy in Economic Stability</w:t>
      </w:r>
    </w:p>
    <w:p w14:paraId="2BF21B1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Islamic fiscal policy differs from conventional fiscal policy in that it relies more than solely on tax revenue and state spending. Historically, fiscal policy has been closely linked to the Baitul Māl (Islamic treasury) institution, which manages public revenue and distributes it for the benefit of society. Instruments such as zakat, kharāj, jizyah, 'ushr, ghanīmah, fai', waqf, and sadaqah have strong socio-economic functions. In the context of the modern state, not all historical instruments are applied in the same way, but their core values remain relevant: justice, redistribution, productivity, and community protection.</w:t>
      </w:r>
    </w:p>
    <w:p w14:paraId="0205748F"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Zakat is the most important Islamic fiscal instrument. It is obligatory for eligible Muslims and is directed to specific recipient groups. From a macroeconomic perspective, zakat acts as a relatively automatic redistribution mechanism. As income and wealth increase, the potential for zakat also increases. These funds are then channeled to the mustahik (recipients of zakat), who tend to have a higher marginal propensity to consume. This means that zakat funds received by the poor are more likely to be immediately used for basic necessities. This can maintain aggregate demand, especially during times of economic downturn. Studies on zakat and growth show that zakat can contribute to </w:t>
      </w:r>
      <w:r w:rsidRPr="003D3173">
        <w:rPr>
          <w:sz w:val="24"/>
          <w:szCs w:val="24"/>
          <w:lang w:val="en-ID" w:eastAsia="en-ID"/>
        </w:rPr>
        <w:lastRenderedPageBreak/>
        <w:t>growth and poverty reduction if its distribution is effective and directed not only toward consumption but also toward productive empowerment (Ben Jedidia &amp; Guerbouj, 2021; Gunawan et al., 2025; Kasri et al., 2025).</w:t>
      </w:r>
    </w:p>
    <w:p w14:paraId="26553E7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Besides being an instrument of redistribution, zakat can also function as an automatic stabilizer. In conventional economics, automatic stabilizers operate through progressive taxation and social transfers. In Islam, zakat can serve a similar function if its collection and distribution are organized. When the economy grows, zakat collection increases and can prevent the concentration of wealth. When the economy declines, zakat distribution can bolster the purchasing power of the poor. However, this function can only be optimal if zakat institutions have a strong database, transparent governance, and coordination with state poverty alleviation programs. Without it, zakat becomes little more than fragmented charitable assistance.</w:t>
      </w:r>
    </w:p>
    <w:p w14:paraId="2F49E44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Waqf also plays a crucial role in long-term fiscal stability. Unlike zakat, which is a periodic transfer, waqf is a sustainable asset. Waqf assets can be used to finance education, hospitals, clean water facilities, social housing, and business empowerment. Abdullah (2018) explains that waqf is linked to sustainable development goals and the maqāṣid al-sharī'ah (obligatory objectives of Islamic law). From an economic stability perspective, waqf can reduce the state's fiscal burden because some public needs can be met through social assets. Productive waqf can also create a long-term source of income that can be used for social programs. In the long term, waqf has the potential to strengthen human capital through financing education and health.</w:t>
      </w:r>
    </w:p>
    <w:p w14:paraId="40C827A1"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However, the potential of waqf is often not optimal due to governance issues. Many waqf assets are unproductive, lack strong legal certification, or are managed traditionally. To make waqf an instrument of economic stability, professionalization of nazirs, transparency of reporting, innovation in cash waqf, integration with Islamic financial institutions, and development of economically viable projects are required. Shaikh et al. (2017) emphasize that waqf can be used as an instrument for social and development financing if managed with an appropriate institutional model. Therefore, Islamic fiscal policy must encourage the transformation of waqf from passive assets to productive assets.</w:t>
      </w:r>
    </w:p>
    <w:p w14:paraId="59A5142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Public spending in Islamic economics also has a stabilizing function. The state is obliged to ensure that the basic needs of the people are met. Public spending should be directed to sectors with broad impacts, such as education, health, basic infrastructure, food security, and economic empowerment. In Islam, state spending must be carried out in a trustworthy manner and avoid isrāf, or waste. Fiscal discipline is not only a technical budget issue but also an ethical one. A budget deficit financed unproductively can burden future generations and contradict the principle of intergenerational justice. Therefore, Islamic fiscal policy must maintain a balance between economic stimulus and fiscal sustainability.</w:t>
      </w:r>
    </w:p>
    <w:p w14:paraId="2D0396CE"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Sovereign sukuk can bridge the gap between fiscal and monetary policies. From a fiscal perspective, sukuk can be used to finance infrastructure and development projects. From a monetary perspective, sukuk can serve as an instrument for Islamic open market operations and liquidity management in Islamic banks. Sukuk's advantage lies in its linkage to real assets or projects, making it more in line with Islamic economic principles than interest-bearing bonds. Said and Grassa (2013) and Smaoui and Nechi (2017) demonstrate that sukuk market development is linked to development financing and economic growth. However, sukuk must be designed to not merely mimic conventional bonds in substance. Sukuk structures should reflect beneficial ownership of assets, fair risk sharing, and transparency in the use of funds.</w:t>
      </w:r>
    </w:p>
    <w:p w14:paraId="7DBD26DD" w14:textId="77777777" w:rsidR="003D3173" w:rsidRPr="003D3173" w:rsidRDefault="003D3173" w:rsidP="003D3173">
      <w:pPr>
        <w:widowControl/>
        <w:autoSpaceDE/>
        <w:autoSpaceDN/>
        <w:spacing w:before="100" w:beforeAutospacing="1" w:after="100" w:afterAutospacing="1"/>
        <w:jc w:val="both"/>
        <w:outlineLvl w:val="2"/>
        <w:rPr>
          <w:b/>
          <w:bCs/>
          <w:sz w:val="24"/>
          <w:szCs w:val="24"/>
          <w:lang w:val="en-ID" w:eastAsia="en-ID"/>
        </w:rPr>
      </w:pPr>
      <w:r w:rsidRPr="003D3173">
        <w:rPr>
          <w:b/>
          <w:bCs/>
          <w:sz w:val="24"/>
          <w:szCs w:val="24"/>
          <w:lang w:val="en-ID" w:eastAsia="en-ID"/>
        </w:rPr>
        <w:t>3. The Role of Islamic Monetary Policy in Economic Stability</w:t>
      </w:r>
    </w:p>
    <w:p w14:paraId="5C88D7CE"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Islamic monetary policy aims to maintain the stability of the value of money, control liquidity, encourage productive financing, and maintain financial system stability without the use of usury-based instruments. In conventional systems, interest rates are the primary instrument influencing consumption, investment, savings, and aggregate demand. In Islam, the use of interest as a price for money is rejected because usury is seen as creating injustice and separating financial gain from business risk. Therefore, Islamic monetary policy must use instruments that comply with Sharia principles.</w:t>
      </w:r>
    </w:p>
    <w:p w14:paraId="08CBECD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One of the key principles of Islamic monetary policy is the link between money and the real sector. Money is not viewed as a commodity capable of generating profits on its own, but rather as a medium of exchange, a unit of account, and a store of value. Legitimate profits should come from risky trade, investment, rental, or business partnerships. Therefore, monetary expansion should be directed so as not to encourage speculation but to strengthen production and trade. If the money supply grows faster than real output, inflation can increase. If liquidity circulates solely in the financial sector without affecting the production sector, stability becomes fragile.</w:t>
      </w:r>
    </w:p>
    <w:p w14:paraId="124A3A1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Islamic monetary instruments can include sharia-compliant minimum reserves, sharia-compliant liquidity facilities, open market operations using sukuk (Islamic bonds), sharia-compliant central bank certificates, mudharabah and musharakah-based financing, and financing ratio regulation. These instruments aim to regulate interest-free liquidity. In practice, central banks in countries with dual financial systems need to provide sufficiently liquid sharia-compliant monetary instruments to enable sharia banks to manage funds efficiently. If sharia-compliant instruments are limited, sharia banks may face higher liquidity risks than conventional banks.</w:t>
      </w:r>
    </w:p>
    <w:p w14:paraId="44A273F8"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The stability of Islamic banks is an important component of Islamic monetary stability. Several studies have shown that Islamic banks have different stability characteristics than conventional banks. Čihák and Hesse (2010) found that small Islamic banks tend to be financially stronger than small commercial banks, but large Islamic banks can face risk management challenges. Beck et al. (2013) showed that Islamic banks have relatively good asset quality and capitalization, although cost efficiency can be a challenge. Abedifar et al. (2013) found that small Islamic banks have lower credit risk and insolvency risk under certain conditions. However, Bourkhis and Nabi (2013) showed that during the 2007–2008 crisis, there was not always a significant difference between the resilience of Islamic and conventional banks. These findings suggest that the stability of Islamic banks is not an automatic result of the Islamic label, but depends on governance, size, capitalization, liquidity, risk management, and regulatory quality.</w:t>
      </w:r>
    </w:p>
    <w:p w14:paraId="2747CA1C"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Islamic monetary policy must also address systemic risk. Rizwan et al. (2022) showed that the COVID-19 pandemic has put pressure on the systemic risk of Islamic banks. This suggests that Islamic banks remain vulnerable to global shocks, particularly if they have high exposure to certain sectors, liquidity risks, or governance weaknesses. Therefore, central banks and financial authorities need to strengthen the Islamic macroprudential framework. Macroprudential regulations can include capital buffers, liquidity supervision, stress testing, restrictions on financing concentration, and strengthening Islamic governance.</w:t>
      </w:r>
    </w:p>
    <w:p w14:paraId="082165EC"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In Islamic economics, price stability is also a crucial objective. High inflation destroys the value of money and reduces people's purchasing power, especially the poor. Inflation can also undermine equity, as fixed-income groups are more severely impacted than asset owners. Therefore, Islamic monetary policy must maintain money growth in line with real output growth. However, inflation control must not be carried out in a way that unduly weakens the productive sector. A balance is needed between price stability and support for business financing.</w:t>
      </w:r>
    </w:p>
    <w:p w14:paraId="044FC8BC" w14:textId="77777777" w:rsidR="003D3173" w:rsidRPr="003D3173" w:rsidRDefault="003D3173" w:rsidP="003D3173">
      <w:pPr>
        <w:widowControl/>
        <w:autoSpaceDE/>
        <w:autoSpaceDN/>
        <w:spacing w:before="100" w:beforeAutospacing="1" w:after="100" w:afterAutospacing="1"/>
        <w:jc w:val="both"/>
        <w:outlineLvl w:val="2"/>
        <w:rPr>
          <w:b/>
          <w:bCs/>
          <w:sz w:val="24"/>
          <w:szCs w:val="24"/>
          <w:lang w:val="en-ID" w:eastAsia="en-ID"/>
        </w:rPr>
      </w:pPr>
      <w:r w:rsidRPr="003D3173">
        <w:rPr>
          <w:b/>
          <w:bCs/>
          <w:sz w:val="24"/>
          <w:szCs w:val="24"/>
          <w:lang w:val="en-ID" w:eastAsia="en-ID"/>
        </w:rPr>
        <w:t>4. Synergy of Fiscal and Monetary Policy in Islamic Economics</w:t>
      </w:r>
    </w:p>
    <w:p w14:paraId="03D4780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Fiscal and monetary policies are inseparable. In a modern economy, fiscal policy influences aggregate demand, government financing, and market expectations. Monetary policy influences liquidity, financing, the value of money, and financial stability. If the two are not coordinated, policies can cancel each other out. For example, the government may increase spending to stimulate growth, but the central bank may tighten liquidity excessively, weakening business financing. Conversely, the central bank may loosen liquidity, but the government may not direct spending toward productive sectors, leading to speculation and inflation.</w:t>
      </w:r>
    </w:p>
    <w:p w14:paraId="090DE3C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In Islamic economics, fiscal-monetary synergy has additional dimensions: Sharia compliance and social justice. Fiscal policy must ensure the equitable distribution of resources, while monetary policy must ensure that liquidity does not create new inequalities. Instruments such as sukuk can be a meeting point. The government issues sukuk to finance public projects, while the central bank can use sukuk as a liquidity management instrument. Islamic banks can hold sukuk as high-quality liquid assets. Thus, sukuk can strengthen fiscal financing, monetary stability, and deepen the Islamic financial market.</w:t>
      </w:r>
    </w:p>
    <w:p w14:paraId="74E7784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Zakat can also be indirectly synergized with monetary policy. When zakat strengthens the income of the poor, basic consumption becomes more stable. Consumption stability helps reduce the volatility of aggregate demand. If productive zakat is used as capital for micro-enterprises, social financing can reduce the poor's dependence on consumer debt. This supports financial stability because people are less likely to resort to interest-bearing financing or exploitative informal loans. Productive zakat can also be combined with Islamic microfinance, business mentoring, and financial literacy.</w:t>
      </w:r>
    </w:p>
    <w:p w14:paraId="6EFEC7E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Waqf can be an instrument of long-term stability by providing social assets. For example, educational waqf can improve the quality of human resources, health waqf can reduce household costs, and productive waqf can create jobs. In the long run, this strengthens the supply side of the economy. Stability is determined not only by aggregate demand but also by production capacity. An economy with good education, good health, and adequate social infrastructure is more resilient to shocks. Therefore, waqf can be viewed as a social fiscal instrument that strengthens structural stability.</w:t>
      </w:r>
    </w:p>
    <w:p w14:paraId="3F47260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Fiscal-monetary synergy is also crucial in controlling inflation. Inflation can be caused by demand pressures, rising production costs, supply disruptions, or exchange rate depreciation. Monetary policy can control liquidity, but if inflation stems from food supply disruptions, fiscal policy is more relevant through targeted subsidies, food reserves, logistical infrastructure, and production support. From an Islamic perspective, inflation control is also related to market ethics, prohibitions on hoarding, monitoring fraudulent practices, and consumer protection. Therefore, fiscal and monetary policies must be supported by real sector policies and market supervision.</w:t>
      </w:r>
    </w:p>
    <w:p w14:paraId="2789ECC6" w14:textId="77777777" w:rsidR="003D3173" w:rsidRPr="003D3173" w:rsidRDefault="003D3173" w:rsidP="003D3173">
      <w:pPr>
        <w:widowControl/>
        <w:autoSpaceDE/>
        <w:autoSpaceDN/>
        <w:spacing w:before="100" w:beforeAutospacing="1" w:after="100" w:afterAutospacing="1"/>
        <w:jc w:val="both"/>
        <w:outlineLvl w:val="2"/>
        <w:rPr>
          <w:b/>
          <w:bCs/>
          <w:sz w:val="24"/>
          <w:szCs w:val="24"/>
          <w:lang w:val="en-ID" w:eastAsia="en-ID"/>
        </w:rPr>
      </w:pPr>
      <w:r w:rsidRPr="003D3173">
        <w:rPr>
          <w:b/>
          <w:bCs/>
          <w:sz w:val="27"/>
          <w:szCs w:val="27"/>
          <w:lang w:val="en-ID" w:eastAsia="en-ID"/>
        </w:rPr>
        <w:t xml:space="preserve">5. </w:t>
      </w:r>
      <w:r w:rsidRPr="003D3173">
        <w:rPr>
          <w:b/>
          <w:bCs/>
          <w:sz w:val="24"/>
          <w:szCs w:val="24"/>
          <w:lang w:val="en-ID" w:eastAsia="en-ID"/>
        </w:rPr>
        <w:t>Challenges in Implementing Islamic Fiscal and Monetary Policy</w:t>
      </w:r>
    </w:p>
    <w:p w14:paraId="714D3DC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Although the concept of Islamic fiscal and monetary policy has a strong foundation, its implementation faces numerous challenges. First, there remains a gap between ideal principles and institutional practice. Many Islamic financial institutions operate in an economic system still dominated by conventional instruments. As a result, Islamic products sometimes formally mimic conventional structures without fully reflecting the spirit of risk sharing. This can diminish the contribution of Islamic economics to stability.</w:t>
      </w:r>
    </w:p>
    <w:p w14:paraId="3B489B18"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Second, Islamic financial markets in many countries remain underdeveloped. Limited liquid instruments make it difficult for Islamic banks to manage liquidity. If the sukuk market remains underdeveloped, Islamic monetary operations are limited. Deepening the sukuk market, the Islamic </w:t>
      </w:r>
      <w:r w:rsidRPr="003D3173">
        <w:rPr>
          <w:sz w:val="24"/>
          <w:szCs w:val="24"/>
          <w:lang w:val="en-ID" w:eastAsia="en-ID"/>
        </w:rPr>
        <w:lastRenderedPageBreak/>
        <w:t>interbank money market, and Islamic hedging instruments is necessary for a more effective Islamic monetary system.</w:t>
      </w:r>
    </w:p>
    <w:p w14:paraId="6B72B56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Third, zakat and waqf governance still needs to be strengthened. Zakat requires an accurate database of muzakki (payers of zakat) and mustahik (recipients of zakat), transparency in collection, efficient distribution, and impact measurement. Waqf requires asset certification, professionalization of administrators (nazir), investment innovation, and oversight. Without good governance, zakat and waqf will struggle to become credible instruments of macroeconomic stabilization.</w:t>
      </w:r>
    </w:p>
    <w:p w14:paraId="2AA6B19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Fourth, coordination between fiscal, monetary, financial, and Islamic social institutions is often suboptimal. Zakat policies may be managed by one institution, waqf by another, fiscal by the Ministry of Finance, and monetary by the central bank. Without data and strategy integration, the potential of the Islamic economy becomes fragmented. Economic stability, however, requires cross-institutional coordination.</w:t>
      </w:r>
    </w:p>
    <w:p w14:paraId="57F716D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Fifth, literacy among the public and economic actors remains a challenge. Many people understand zakat and waqf solely as individual acts of worship, not as instruments of development. Similarly, Islamic financial products are sometimes understood merely as religious alternatives, rather than as part of economic stability. Increasing literacy is necessary for the public to actively support Islamic fiscal and monetary policies.</w:t>
      </w:r>
    </w:p>
    <w:p w14:paraId="3D34FA8C" w14:textId="77777777" w:rsidR="003D3173" w:rsidRPr="003D3173" w:rsidRDefault="003D3173" w:rsidP="003D3173">
      <w:pPr>
        <w:widowControl/>
        <w:autoSpaceDE/>
        <w:autoSpaceDN/>
        <w:spacing w:before="100" w:beforeAutospacing="1" w:after="100" w:afterAutospacing="1"/>
        <w:jc w:val="both"/>
        <w:outlineLvl w:val="2"/>
        <w:rPr>
          <w:b/>
          <w:bCs/>
          <w:sz w:val="24"/>
          <w:szCs w:val="24"/>
          <w:lang w:val="en-ID" w:eastAsia="en-ID"/>
        </w:rPr>
      </w:pPr>
      <w:r w:rsidRPr="003D3173">
        <w:rPr>
          <w:b/>
          <w:bCs/>
          <w:sz w:val="24"/>
          <w:szCs w:val="24"/>
          <w:lang w:val="en-ID" w:eastAsia="en-ID"/>
        </w:rPr>
        <w:t>6. Policy Implications</w:t>
      </w:r>
    </w:p>
    <w:p w14:paraId="347C93A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Based on the discussion above, there are several policy implications. First, the government needs to integrate zakat and waqf into poverty alleviation and social stabilization strategies, without losing their sharia character. This integration can be achieved through integrated data, program coordination, and impact measurement. Second, the development of the sukuk market must be accelerated so that sukuk can function as both a fiscal and monetary instrument. Third, the central bank needs to strengthen sharia monetary instruments that are compliant with sharia principles and effective in managing liquidity. Fourth, financial authorities need to strengthen sharia macroprudential regulations to maintain the stability of sharia banks. Fifth, fiscal policy should be directed towards productive spending and protecting vulnerable groups. Sixth, monetary policy should support real sector financing and discourage speculation.</w:t>
      </w:r>
    </w:p>
    <w:p w14:paraId="2A39D38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Islamic economic stability cannot be achieved simply by replacing conventional terms with Sharia-compliant ones. More crucial is ensuring that policies truly reflect the principles of justice, welfare, transparency, and linkages to the real sector. Islamic fiscal policy must ensure equitable distribution and productive spending. Islamic monetary policy must maintain the value of money and channel liquidity to productive activities. Both must operate within a coordinated policy framework.</w:t>
      </w:r>
    </w:p>
    <w:p w14:paraId="07758631" w14:textId="77777777" w:rsidR="003D3173" w:rsidRPr="003D3173" w:rsidRDefault="003D3173" w:rsidP="003D3173">
      <w:pPr>
        <w:widowControl/>
        <w:autoSpaceDE/>
        <w:autoSpaceDN/>
        <w:spacing w:before="100" w:beforeAutospacing="1" w:after="100" w:afterAutospacing="1"/>
        <w:jc w:val="both"/>
        <w:outlineLvl w:val="1"/>
        <w:rPr>
          <w:b/>
          <w:bCs/>
          <w:sz w:val="24"/>
          <w:szCs w:val="24"/>
          <w:lang w:val="en-ID" w:eastAsia="en-ID"/>
        </w:rPr>
      </w:pPr>
      <w:r w:rsidRPr="003D3173">
        <w:rPr>
          <w:b/>
          <w:bCs/>
          <w:sz w:val="24"/>
          <w:szCs w:val="24"/>
          <w:lang w:val="en-ID" w:eastAsia="en-ID"/>
        </w:rPr>
        <w:t>Conclusion</w:t>
      </w:r>
    </w:p>
    <w:p w14:paraId="42A9C198"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Fiscal and monetary policies play a strategic role in achieving Islamic economic stability. Stability, from an Islamic perspective, is not only defined as low inflation, positive economic growth, and a healthy financial system, but also as the realization of distributive justice, protection of vulnerable groups, balance between the real and financial sectors, and the achievement of the maqāṣid al-sharī'ah (the principles of Islamic law). Islamic fiscal policy plays a role through zakat, infaq, sadaqah, waqf, public spending, fair taxes, and sukuk. Zakat can function as an instrument of redistribution and social support, while waqf can strengthen long-term social financing. Sukuk can be an instrument for development financing and a means of liquidity management.</w:t>
      </w:r>
    </w:p>
    <w:p w14:paraId="0574BC1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Islamic monetary policy plays a role in maintaining the value of money, controlling liquidity, encouraging productive financing, and maintaining the stability of Islamic banking. Because Islam prohibits usury (riba), monetary instruments must be designed based on Islamic contracts, real assets, and the principle of risk sharing. Islamic banking stability does not occur automatically but depends on good governance, capitalization, liquidity, regulations, and the quality of risk management. Therefore, coordination of fiscal and monetary policies is crucial. Without coordination, fiscal policy can trigger inflationary pressures or burden financing, while monetary policy can weaken real sector financing. Synergy between the two needs to be directed towards price stability, distributive justice, financial inclusion, and productive growth.</w:t>
      </w:r>
    </w:p>
    <w:p w14:paraId="6A615A7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Thus, Islamic economics offers a more holistic framework for stability. Economic stability is not merely technical but also ethical and social. To achieve this, strengthening zakat and waqf institutions, deepening the sukuk market, effective Islamic monetary instruments, robust Islamic financial governance, and integrating public policies based on the maqāṣid al-sharī'ah (the principles of Islamic law) are required.</w:t>
      </w:r>
    </w:p>
    <w:p w14:paraId="33D9187F" w14:textId="77777777" w:rsidR="003D3173" w:rsidRPr="003169EA" w:rsidRDefault="003D3173" w:rsidP="003D3173">
      <w:pPr>
        <w:widowControl/>
        <w:autoSpaceDE/>
        <w:autoSpaceDN/>
        <w:spacing w:before="100" w:beforeAutospacing="1" w:after="100" w:afterAutospacing="1"/>
        <w:jc w:val="both"/>
        <w:outlineLvl w:val="1"/>
        <w:rPr>
          <w:b/>
          <w:bCs/>
          <w:sz w:val="24"/>
          <w:szCs w:val="24"/>
          <w:lang w:val="en-ID" w:eastAsia="en-ID"/>
        </w:rPr>
      </w:pPr>
      <w:r w:rsidRPr="003169EA">
        <w:rPr>
          <w:b/>
          <w:bCs/>
          <w:sz w:val="24"/>
          <w:szCs w:val="24"/>
          <w:lang w:val="en-ID" w:eastAsia="en-ID"/>
        </w:rPr>
        <w:t>Bibliography</w:t>
      </w:r>
    </w:p>
    <w:p w14:paraId="2A8D849F"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Abdullah, M. (2018). Waqf, Sustainable Development Goals (SDGs) and maqasid al-shariah. </w:t>
      </w:r>
      <w:r w:rsidRPr="003D3173">
        <w:rPr>
          <w:i/>
          <w:iCs/>
          <w:sz w:val="24"/>
          <w:szCs w:val="24"/>
          <w:lang w:val="en-ID" w:eastAsia="en-ID"/>
        </w:rPr>
        <w:t xml:space="preserve">International Journal of Social Economics, 45 </w:t>
      </w:r>
      <w:r w:rsidRPr="003D3173">
        <w:rPr>
          <w:sz w:val="24"/>
          <w:szCs w:val="24"/>
          <w:lang w:val="en-ID" w:eastAsia="en-ID"/>
        </w:rPr>
        <w:t>(1), 158–172. https://doi.org/10.1108/IJSE-10-2016-0295</w:t>
      </w:r>
    </w:p>
    <w:p w14:paraId="1225A25A"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Abedifar, P., Molyneux, P., &amp; Tarazi, A. (2013). Risks in Islamic banking. </w:t>
      </w:r>
      <w:r w:rsidRPr="003D3173">
        <w:rPr>
          <w:i/>
          <w:iCs/>
          <w:sz w:val="24"/>
          <w:szCs w:val="24"/>
          <w:lang w:val="en-ID" w:eastAsia="en-ID"/>
        </w:rPr>
        <w:t xml:space="preserve">Review of Finance, 17 </w:t>
      </w:r>
      <w:r w:rsidRPr="003D3173">
        <w:rPr>
          <w:sz w:val="24"/>
          <w:szCs w:val="24"/>
          <w:lang w:val="en-ID" w:eastAsia="en-ID"/>
        </w:rPr>
        <w:t>(6), 2035–2096. https://doi.org/10.1093/rof/rfs041</w:t>
      </w:r>
    </w:p>
    <w:p w14:paraId="48D2215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Akbar, N., &amp; Amijaya, S. (2021). Reviewing stock waqf product of Indonesian securities company.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https://doi.org/10.1108/978-1-80043-786-920211005</w:t>
      </w:r>
    </w:p>
    <w:p w14:paraId="405543B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Azid, T., Mukhlisin, M., Akbar, N., &amp; Tahir, M. (Eds.). (2021).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xml:space="preserve">. Emerald Publishing. </w:t>
      </w:r>
      <w:hyperlink r:id="rId14" w:tgtFrame="_new" w:history="1">
        <w:r w:rsidRPr="003D3173">
          <w:rPr>
            <w:color w:val="0000FF"/>
            <w:sz w:val="24"/>
            <w:szCs w:val="24"/>
            <w:u w:val="single"/>
            <w:lang w:val="en-ID" w:eastAsia="en-ID"/>
          </w:rPr>
          <w:t>https://doi.org/10.1108/9781800437869</w:t>
        </w:r>
      </w:hyperlink>
    </w:p>
    <w:p w14:paraId="2212D5A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Bayuni, EM, &amp; Srisusilawati, P. (2021). Contribution of Shari'ah monetary instrument to control inflation in Indonesia.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https://doi.org/10.1108/978-1-80043-786-920211008</w:t>
      </w:r>
    </w:p>
    <w:p w14:paraId="479A9D1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Beck, T., Demirgüç-Kunt, A., &amp; Merrouche, O. (2013). Islamic vs. conventional banking: Business model, efficiency and stability. </w:t>
      </w:r>
      <w:r w:rsidRPr="003D3173">
        <w:rPr>
          <w:i/>
          <w:iCs/>
          <w:sz w:val="24"/>
          <w:szCs w:val="24"/>
          <w:lang w:val="en-ID" w:eastAsia="en-ID"/>
        </w:rPr>
        <w:t xml:space="preserve">Journal of Banking &amp; Finance, 37 </w:t>
      </w:r>
      <w:r w:rsidRPr="003D3173">
        <w:rPr>
          <w:sz w:val="24"/>
          <w:szCs w:val="24"/>
          <w:lang w:val="en-ID" w:eastAsia="en-ID"/>
        </w:rPr>
        <w:t xml:space="preserve">(2), 433–447. </w:t>
      </w:r>
      <w:hyperlink r:id="rId15" w:tgtFrame="_new" w:history="1">
        <w:r w:rsidRPr="003D3173">
          <w:rPr>
            <w:color w:val="0000FF"/>
            <w:sz w:val="24"/>
            <w:szCs w:val="24"/>
            <w:u w:val="single"/>
            <w:lang w:val="en-ID" w:eastAsia="en-ID"/>
          </w:rPr>
          <w:t>https://doi.org/10.1016/j.jbankfin.2012.09.016</w:t>
        </w:r>
      </w:hyperlink>
    </w:p>
    <w:p w14:paraId="118A45A4"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Ben Jedidia, K., &amp; Guerbouj, K. (2021). Effects of zakat on the economic growth in selected Islamic countries: Empirical evidence. </w:t>
      </w:r>
      <w:r w:rsidRPr="003D3173">
        <w:rPr>
          <w:i/>
          <w:iCs/>
          <w:sz w:val="24"/>
          <w:szCs w:val="24"/>
          <w:lang w:val="en-ID" w:eastAsia="en-ID"/>
        </w:rPr>
        <w:t xml:space="preserve">International Journal of Development Issues, 20 </w:t>
      </w:r>
      <w:r w:rsidRPr="003D3173">
        <w:rPr>
          <w:sz w:val="24"/>
          <w:szCs w:val="24"/>
          <w:lang w:val="en-ID" w:eastAsia="en-ID"/>
        </w:rPr>
        <w:t>(1), 126–142. https://doi.org/10.1108/IJDI-05-2020-0100</w:t>
      </w:r>
    </w:p>
    <w:p w14:paraId="009E71D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Bourkhis, K., &amp; Nabi, M.S. (2013). Islamic and conventional banks' soundness during the 2007–2008 financial crisis. </w:t>
      </w:r>
      <w:r w:rsidRPr="003D3173">
        <w:rPr>
          <w:i/>
          <w:iCs/>
          <w:sz w:val="24"/>
          <w:szCs w:val="24"/>
          <w:lang w:val="en-ID" w:eastAsia="en-ID"/>
        </w:rPr>
        <w:t xml:space="preserve">Review of Financial Economics, 22 </w:t>
      </w:r>
      <w:r w:rsidRPr="003D3173">
        <w:rPr>
          <w:sz w:val="24"/>
          <w:szCs w:val="24"/>
          <w:lang w:val="en-ID" w:eastAsia="en-ID"/>
        </w:rPr>
        <w:t>(2), 68–77. https://doi.org/10.1016/j.rfe.2013.01.001</w:t>
      </w:r>
    </w:p>
    <w:p w14:paraId="5981B64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 xml:space="preserve">Choudhury, M.A. (2021). Monetary and fiscal complementarities in socioeconomic sustainability.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https://doi.org/10.1108/978-1-80043-786-920211006</w:t>
      </w:r>
    </w:p>
    <w:p w14:paraId="603A5041"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Čihák, M., &amp; Hesse, H. (2010). Islamic banks and financial stability: An empirical analysis. </w:t>
      </w:r>
      <w:r w:rsidRPr="003D3173">
        <w:rPr>
          <w:i/>
          <w:iCs/>
          <w:sz w:val="24"/>
          <w:szCs w:val="24"/>
          <w:lang w:val="en-ID" w:eastAsia="en-ID"/>
        </w:rPr>
        <w:t xml:space="preserve">Journal of Financial Services Research, 38 </w:t>
      </w:r>
      <w:r w:rsidRPr="003D3173">
        <w:rPr>
          <w:sz w:val="24"/>
          <w:szCs w:val="24"/>
          <w:lang w:val="en-ID" w:eastAsia="en-ID"/>
        </w:rPr>
        <w:t>, 95–113. https://doi.org/10.1007/s10693-010-0089-0</w:t>
      </w:r>
    </w:p>
    <w:p w14:paraId="3825B517"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Faizah, F.N., Sulistiyono, A., Yahya, M., &amp; Murtadho, A. (2025). Fiscal policy and Islamic philanthropy: A strategy for social welfare and economic stability. </w:t>
      </w:r>
      <w:r w:rsidRPr="003D3173">
        <w:rPr>
          <w:i/>
          <w:iCs/>
          <w:sz w:val="24"/>
          <w:szCs w:val="24"/>
          <w:lang w:val="en-ID" w:eastAsia="en-ID"/>
        </w:rPr>
        <w:t xml:space="preserve">Iqtisad: Reconstruction of Justice and Welfare for Indonesia, 12 </w:t>
      </w:r>
      <w:r w:rsidRPr="003D3173">
        <w:rPr>
          <w:sz w:val="24"/>
          <w:szCs w:val="24"/>
          <w:lang w:val="en-ID" w:eastAsia="en-ID"/>
        </w:rPr>
        <w:t>(1). https://doi.org/10.31942/iq.v12i1.12697</w:t>
      </w:r>
    </w:p>
    <w:p w14:paraId="19A10747"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Gunawan, AAR, &amp; Hasanah, SM (2025). The influence of zakat on quality economic growth. </w:t>
      </w:r>
      <w:r w:rsidRPr="003D3173">
        <w:rPr>
          <w:i/>
          <w:iCs/>
          <w:sz w:val="24"/>
          <w:szCs w:val="24"/>
          <w:lang w:val="en-ID" w:eastAsia="en-ID"/>
        </w:rPr>
        <w:t xml:space="preserve">Journal of Lifestyle and SDGs Review, 5 </w:t>
      </w:r>
      <w:r w:rsidRPr="003D3173">
        <w:rPr>
          <w:sz w:val="24"/>
          <w:szCs w:val="24"/>
          <w:lang w:val="en-ID" w:eastAsia="en-ID"/>
        </w:rPr>
        <w:t>(2). https://doi.org/10.47172/2965-730X.SDGsReview.v5.n02.pe02845</w:t>
      </w:r>
    </w:p>
    <w:p w14:paraId="51A0F30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Harahap, LW (2021). Implementation of zakat through corporate social responsibility partnership in overcoming poverty.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https://doi.org/10.1108/978-1-80043-786-920211004</w:t>
      </w:r>
    </w:p>
    <w:p w14:paraId="269925C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Hassan, M. K., Sohel, M. N. I., Choudhury, T., &amp; Rashid, M. (2023). A systematic literature review of risks in Islamic banking system: Research agenda and future research directions. </w:t>
      </w:r>
      <w:r w:rsidRPr="003D3173">
        <w:rPr>
          <w:i/>
          <w:iCs/>
          <w:sz w:val="24"/>
          <w:szCs w:val="24"/>
          <w:lang w:val="en-ID" w:eastAsia="en-ID"/>
        </w:rPr>
        <w:t xml:space="preserve">International Journal of Islamic and Middle Eastern Finance and Management </w:t>
      </w:r>
      <w:r w:rsidRPr="003D3173">
        <w:rPr>
          <w:sz w:val="24"/>
          <w:szCs w:val="24"/>
          <w:lang w:val="en-ID" w:eastAsia="en-ID"/>
        </w:rPr>
        <w:t xml:space="preserve">. </w:t>
      </w:r>
      <w:hyperlink r:id="rId16" w:tgtFrame="_new" w:history="1">
        <w:r w:rsidRPr="003D3173">
          <w:rPr>
            <w:color w:val="0000FF"/>
            <w:sz w:val="24"/>
            <w:szCs w:val="24"/>
            <w:u w:val="single"/>
            <w:lang w:val="en-ID" w:eastAsia="en-ID"/>
          </w:rPr>
          <w:t>https://doi.org/10.1057/s41283-023-00135-z</w:t>
        </w:r>
      </w:hyperlink>
    </w:p>
    <w:p w14:paraId="5C4ACD8F"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Huda, N., Rini, N., Mardoni, Y., &amp; Putra, P. (2025). The impact of zakat on the economy and poverty in Indonesia. </w:t>
      </w:r>
      <w:r w:rsidRPr="003D3173">
        <w:rPr>
          <w:i/>
          <w:iCs/>
          <w:sz w:val="24"/>
          <w:szCs w:val="24"/>
          <w:lang w:val="en-ID" w:eastAsia="en-ID"/>
        </w:rPr>
        <w:t xml:space="preserve">Journal of Islamic Economic Laws, 9 </w:t>
      </w:r>
      <w:r w:rsidRPr="003D3173">
        <w:rPr>
          <w:sz w:val="24"/>
          <w:szCs w:val="24"/>
          <w:lang w:val="en-ID" w:eastAsia="en-ID"/>
        </w:rPr>
        <w:t>(1). https://doi.org/10.23917/jisel.v9i01.10461</w:t>
      </w:r>
    </w:p>
    <w:p w14:paraId="3CBCBC5E"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Kasri, RA, Ahsan, A., Widiatmoko, D., &amp; Hati, SRH (2025). Harnessing zakat to drive inclusive economic growth: Prospects and challenges in Indonesia. </w:t>
      </w:r>
      <w:r w:rsidRPr="003D3173">
        <w:rPr>
          <w:i/>
          <w:iCs/>
          <w:sz w:val="24"/>
          <w:szCs w:val="24"/>
          <w:lang w:val="en-ID" w:eastAsia="en-ID"/>
        </w:rPr>
        <w:t xml:space="preserve">Middle East and Islamic Studies, 12 </w:t>
      </w:r>
      <w:r w:rsidRPr="003D3173">
        <w:rPr>
          <w:sz w:val="24"/>
          <w:szCs w:val="24"/>
          <w:lang w:val="en-ID" w:eastAsia="en-ID"/>
        </w:rPr>
        <w:t>(1). https://doi.org/10.7454/meis.v12i1.193</w:t>
      </w:r>
    </w:p>
    <w:p w14:paraId="2F933EB0"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Khan, M.M., &amp; Bhatti, M.I. (2008). Islamic banking and finance: On its way to globalization. </w:t>
      </w:r>
      <w:r w:rsidRPr="003D3173">
        <w:rPr>
          <w:i/>
          <w:iCs/>
          <w:sz w:val="24"/>
          <w:szCs w:val="24"/>
          <w:lang w:val="en-ID" w:eastAsia="en-ID"/>
        </w:rPr>
        <w:t xml:space="preserve">Managerial Finance, 34 </w:t>
      </w:r>
      <w:r w:rsidRPr="003D3173">
        <w:rPr>
          <w:sz w:val="24"/>
          <w:szCs w:val="24"/>
          <w:lang w:val="en-ID" w:eastAsia="en-ID"/>
        </w:rPr>
        <w:t>(10), 708–725. https://doi.org/10.1108/03074350810891029</w:t>
      </w:r>
    </w:p>
    <w:p w14:paraId="3ED8A5E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Kiaee, H., &amp; Eftekhari Mahabadi, S. (2021). The effects of monetary policy on the stability of Islamic banks with different governance models: Case of Islamic Republic of Iran.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https://doi.org/10.1108/978-1-80043-786-920211009</w:t>
      </w:r>
    </w:p>
    <w:p w14:paraId="18625396"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Musari, K., &amp; Fathorrazi, M. (2021). Islamic helix approach, the Islamic social finance partnership models for MSMEs: Lessons learned from Indonesia.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https://doi.org/10.1108/978-1-80043-786-920211017</w:t>
      </w:r>
    </w:p>
    <w:p w14:paraId="0F2D56D8"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Pappas, V., Ongena, S., Izzeldin, M., &amp; Fuertes, A.M. (2017). A survival analysis of Islamic and conventional banks. </w:t>
      </w:r>
      <w:r w:rsidRPr="003D3173">
        <w:rPr>
          <w:i/>
          <w:iCs/>
          <w:sz w:val="24"/>
          <w:szCs w:val="24"/>
          <w:lang w:val="en-ID" w:eastAsia="en-ID"/>
        </w:rPr>
        <w:t xml:space="preserve">Journal of Financial Services Research, 51 </w:t>
      </w:r>
      <w:r w:rsidRPr="003D3173">
        <w:rPr>
          <w:sz w:val="24"/>
          <w:szCs w:val="24"/>
          <w:lang w:val="en-ID" w:eastAsia="en-ID"/>
        </w:rPr>
        <w:t>, 221–256. https://doi.org/10.1007/s10693-016-0239-0</w:t>
      </w:r>
    </w:p>
    <w:p w14:paraId="59695C88"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lastRenderedPageBreak/>
        <w:t xml:space="preserve">Rizwan, MS, Ahmad, G., &amp; Ashraf, D. (2022). Systemic risk, Islamic banks, and the COVID-19 pandemic: An empirical investigation. </w:t>
      </w:r>
      <w:r w:rsidRPr="003D3173">
        <w:rPr>
          <w:i/>
          <w:iCs/>
          <w:sz w:val="24"/>
          <w:szCs w:val="24"/>
          <w:lang w:val="en-ID" w:eastAsia="en-ID"/>
        </w:rPr>
        <w:t xml:space="preserve">Emerging Markets Review, 51 </w:t>
      </w:r>
      <w:r w:rsidRPr="003D3173">
        <w:rPr>
          <w:sz w:val="24"/>
          <w:szCs w:val="24"/>
          <w:lang w:val="en-ID" w:eastAsia="en-ID"/>
        </w:rPr>
        <w:t>, 100890. https://doi.org/10.1016/j.ememar.2022.100890</w:t>
      </w:r>
    </w:p>
    <w:p w14:paraId="3A0FB2DC"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Said, A., &amp; Grassa, R. (2013). The determinants of sukuk market development: Do macroeconomic factors influence the construction of certain structures of sukuk? </w:t>
      </w:r>
      <w:r w:rsidRPr="003D3173">
        <w:rPr>
          <w:i/>
          <w:iCs/>
          <w:sz w:val="24"/>
          <w:szCs w:val="24"/>
          <w:lang w:val="en-ID" w:eastAsia="en-ID"/>
        </w:rPr>
        <w:t xml:space="preserve">Journal of Applied Finance &amp; Banking, 3 </w:t>
      </w:r>
      <w:r w:rsidRPr="003D3173">
        <w:rPr>
          <w:sz w:val="24"/>
          <w:szCs w:val="24"/>
          <w:lang w:val="en-ID" w:eastAsia="en-ID"/>
        </w:rPr>
        <w:t xml:space="preserve">(5), 251–267. </w:t>
      </w:r>
      <w:hyperlink r:id="rId17" w:tgtFrame="_new" w:history="1">
        <w:r w:rsidRPr="003D3173">
          <w:rPr>
            <w:color w:val="0000FF"/>
            <w:sz w:val="24"/>
            <w:szCs w:val="24"/>
            <w:u w:val="single"/>
            <w:lang w:val="en-ID" w:eastAsia="en-ID"/>
          </w:rPr>
          <w:t>https://doi.org/10.1016/j.bir.2013.10.003</w:t>
        </w:r>
      </w:hyperlink>
    </w:p>
    <w:p w14:paraId="074D7984"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Shaikh, SA, Ismail, AG, &amp; Shafiai, MHM (2017). Application of waqf for social and development finance. </w:t>
      </w:r>
      <w:r w:rsidRPr="003D3173">
        <w:rPr>
          <w:i/>
          <w:iCs/>
          <w:sz w:val="24"/>
          <w:szCs w:val="24"/>
          <w:lang w:val="en-ID" w:eastAsia="en-ID"/>
        </w:rPr>
        <w:t xml:space="preserve">ISRA International Journal of Islamic Finance, 9 </w:t>
      </w:r>
      <w:r w:rsidRPr="003D3173">
        <w:rPr>
          <w:sz w:val="24"/>
          <w:szCs w:val="24"/>
          <w:lang w:val="en-ID" w:eastAsia="en-ID"/>
        </w:rPr>
        <w:t xml:space="preserve">(1), 5–14. </w:t>
      </w:r>
      <w:hyperlink r:id="rId18" w:tgtFrame="_new" w:history="1">
        <w:r w:rsidRPr="003D3173">
          <w:rPr>
            <w:color w:val="0000FF"/>
            <w:sz w:val="24"/>
            <w:szCs w:val="24"/>
            <w:u w:val="single"/>
            <w:lang w:val="en-ID" w:eastAsia="en-ID"/>
          </w:rPr>
          <w:t>https://doi.org/10.1108/IJIF-07-2017-002</w:t>
        </w:r>
      </w:hyperlink>
    </w:p>
    <w:p w14:paraId="423B7D64"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Smaoui, H., &amp; Nechi, S. (2017). Does sukuk market development spur economic growth? </w:t>
      </w:r>
      <w:r w:rsidRPr="003D3173">
        <w:rPr>
          <w:i/>
          <w:iCs/>
          <w:sz w:val="24"/>
          <w:szCs w:val="24"/>
          <w:lang w:val="en-ID" w:eastAsia="en-ID"/>
        </w:rPr>
        <w:t xml:space="preserve">Research in International Business and Finance, 41 </w:t>
      </w:r>
      <w:r w:rsidRPr="003D3173">
        <w:rPr>
          <w:sz w:val="24"/>
          <w:szCs w:val="24"/>
          <w:lang w:val="en-ID" w:eastAsia="en-ID"/>
        </w:rPr>
        <w:t>, 136–147. https://doi.org/10.1016/j.ribaf.2017.04.018</w:t>
      </w:r>
    </w:p>
    <w:p w14:paraId="7F46474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Tahir, M., Ibrahim, S., &amp; Mirakhor, A. (2025). Optimizing Islamic financing for economic stability: A case for monetary policy relevance. </w:t>
      </w:r>
      <w:r w:rsidRPr="003D3173">
        <w:rPr>
          <w:i/>
          <w:iCs/>
          <w:sz w:val="24"/>
          <w:szCs w:val="24"/>
          <w:lang w:val="en-ID" w:eastAsia="en-ID"/>
        </w:rPr>
        <w:t xml:space="preserve">Journal of Islamic Accounting and Business Research </w:t>
      </w:r>
      <w:r w:rsidRPr="003D3173">
        <w:rPr>
          <w:sz w:val="24"/>
          <w:szCs w:val="24"/>
          <w:lang w:val="en-ID" w:eastAsia="en-ID"/>
        </w:rPr>
        <w:t>. https://doi.org/10.1108/JIABR-05-2024-0176</w:t>
      </w:r>
    </w:p>
    <w:p w14:paraId="46289853"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Uddin, MA, Ahmad, AUF, &amp; El Morabit, F. (2021). Is interest rate suitable as a monetary policy instrument for OIC countries?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https://doi.org/10.1108/978-1-80043-786-920211007</w:t>
      </w:r>
    </w:p>
    <w:p w14:paraId="1E6890FB"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Widarjono, A., &amp; Ajija, SR (2020). Do Islamic banks have higher stability than conventional banks? Evidence from Indonesia. </w:t>
      </w:r>
      <w:r w:rsidRPr="003D3173">
        <w:rPr>
          <w:i/>
          <w:iCs/>
          <w:sz w:val="24"/>
          <w:szCs w:val="24"/>
          <w:lang w:val="en-ID" w:eastAsia="en-ID"/>
        </w:rPr>
        <w:t xml:space="preserve">Journal of Islamic Economics &amp; Finance, 6 </w:t>
      </w:r>
      <w:r w:rsidRPr="003D3173">
        <w:rPr>
          <w:sz w:val="24"/>
          <w:szCs w:val="24"/>
          <w:lang w:val="en-ID" w:eastAsia="en-ID"/>
        </w:rPr>
        <w:t>(2), 149–164. https://doi.org/10.20885/JEKI.vol6.iss2.art5</w:t>
      </w:r>
    </w:p>
    <w:p w14:paraId="2C8EA515"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Yahya, M., Faizah, F.N., Sulistiyono, A., &amp; Murtadho, A. (2025). Islamic fiscal policy and social welfare: Zakat, waqf, and equitable stability. </w:t>
      </w:r>
      <w:r w:rsidRPr="003D3173">
        <w:rPr>
          <w:i/>
          <w:iCs/>
          <w:sz w:val="24"/>
          <w:szCs w:val="24"/>
          <w:lang w:val="en-ID" w:eastAsia="en-ID"/>
        </w:rPr>
        <w:t xml:space="preserve">Iqtisad: Reconstruction of Justice and Welfare for Indonesia, 12 </w:t>
      </w:r>
      <w:r w:rsidRPr="003D3173">
        <w:rPr>
          <w:sz w:val="24"/>
          <w:szCs w:val="24"/>
          <w:lang w:val="en-ID" w:eastAsia="en-ID"/>
        </w:rPr>
        <w:t>(1). https://doi.org/10.31942/iq.v12i1.12697</w:t>
      </w:r>
    </w:p>
    <w:p w14:paraId="775FDD6F"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Yusoff, M. B. (2011). Zakat expenditure, school enrollment, and economic growth in Malaysia. </w:t>
      </w:r>
      <w:r w:rsidRPr="003D3173">
        <w:rPr>
          <w:i/>
          <w:iCs/>
          <w:sz w:val="24"/>
          <w:szCs w:val="24"/>
          <w:lang w:val="en-ID" w:eastAsia="en-ID"/>
        </w:rPr>
        <w:t xml:space="preserve">International Journal of Business and Social Science, 2 </w:t>
      </w:r>
      <w:r w:rsidRPr="003D3173">
        <w:rPr>
          <w:sz w:val="24"/>
          <w:szCs w:val="24"/>
          <w:lang w:val="en-ID" w:eastAsia="en-ID"/>
        </w:rPr>
        <w:t>(6), 175–181. https://doi.org/10.2991/iconies-18.2019.39</w:t>
      </w:r>
    </w:p>
    <w:p w14:paraId="33BEDE1E"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Zulkhibri, M. (2015). A synthesis of theoretical and empirical research on sukuk. </w:t>
      </w:r>
      <w:r w:rsidRPr="003D3173">
        <w:rPr>
          <w:i/>
          <w:iCs/>
          <w:sz w:val="24"/>
          <w:szCs w:val="24"/>
          <w:lang w:val="en-ID" w:eastAsia="en-ID"/>
        </w:rPr>
        <w:t xml:space="preserve">Borsa Istanbul Review, 15 </w:t>
      </w:r>
      <w:r w:rsidRPr="003D3173">
        <w:rPr>
          <w:sz w:val="24"/>
          <w:szCs w:val="24"/>
          <w:lang w:val="en-ID" w:eastAsia="en-ID"/>
        </w:rPr>
        <w:t xml:space="preserve">(4), 237–248. </w:t>
      </w:r>
      <w:hyperlink r:id="rId19" w:tgtFrame="_new" w:history="1">
        <w:r w:rsidRPr="003D3173">
          <w:rPr>
            <w:color w:val="0000FF"/>
            <w:sz w:val="24"/>
            <w:szCs w:val="24"/>
            <w:u w:val="single"/>
            <w:lang w:val="en-ID" w:eastAsia="en-ID"/>
          </w:rPr>
          <w:t>https://doi.org/10.1016/j.bir.2015.10.001</w:t>
        </w:r>
      </w:hyperlink>
    </w:p>
    <w:p w14:paraId="3C5BE2DD"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Azulaidin, A., Anwar, A., &amp; Maraghch, A.T. (2025). Exploring Sharia-compliant monetary policy: Implications for economic stability and education in Islamic economics. </w:t>
      </w:r>
      <w:r w:rsidRPr="003D3173">
        <w:rPr>
          <w:i/>
          <w:iCs/>
          <w:sz w:val="24"/>
          <w:szCs w:val="24"/>
          <w:lang w:val="en-ID" w:eastAsia="en-ID"/>
        </w:rPr>
        <w:t xml:space="preserve">Al-Tadzkiyyah: Journal of Islamic Education, 16 </w:t>
      </w:r>
      <w:r w:rsidRPr="003D3173">
        <w:rPr>
          <w:sz w:val="24"/>
          <w:szCs w:val="24"/>
          <w:lang w:val="en-ID" w:eastAsia="en-ID"/>
        </w:rPr>
        <w:t>(2). https://doi.org/10.24042/atjpi.v16i2.30631</w:t>
      </w:r>
    </w:p>
    <w:p w14:paraId="2C1B1A71"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Miah, M.D., Suzuki, Y., &amp; Uddin, SMS (2021). Vulnerability of Islamic banking in ASEAN. </w:t>
      </w:r>
      <w:r w:rsidRPr="003D3173">
        <w:rPr>
          <w:i/>
          <w:iCs/>
          <w:sz w:val="24"/>
          <w:szCs w:val="24"/>
          <w:lang w:val="en-ID" w:eastAsia="en-ID"/>
        </w:rPr>
        <w:t xml:space="preserve">International Journal of Ethics and Systems, 37 </w:t>
      </w:r>
      <w:r w:rsidRPr="003D3173">
        <w:rPr>
          <w:sz w:val="24"/>
          <w:szCs w:val="24"/>
          <w:lang w:val="en-ID" w:eastAsia="en-ID"/>
        </w:rPr>
        <w:t>(2), 159–176. https://doi.org/10.1108/IES-10-2021-0040</w:t>
      </w:r>
    </w:p>
    <w:p w14:paraId="26D238F2" w14:textId="77777777" w:rsidR="003D3173" w:rsidRPr="003D3173" w:rsidRDefault="003D3173" w:rsidP="003D3173">
      <w:pPr>
        <w:widowControl/>
        <w:autoSpaceDE/>
        <w:autoSpaceDN/>
        <w:spacing w:before="100" w:beforeAutospacing="1" w:after="100" w:afterAutospacing="1"/>
        <w:jc w:val="both"/>
        <w:rPr>
          <w:sz w:val="24"/>
          <w:szCs w:val="24"/>
          <w:lang w:val="en-ID" w:eastAsia="en-ID"/>
        </w:rPr>
      </w:pPr>
      <w:r w:rsidRPr="003D3173">
        <w:rPr>
          <w:sz w:val="24"/>
          <w:szCs w:val="24"/>
          <w:lang w:val="en-ID" w:eastAsia="en-ID"/>
        </w:rPr>
        <w:t xml:space="preserve">Marie, M., El-Halaby, S., El-Bendary, I., &amp; Hussainey, K. (2021). Does culture moderate the relationship between AAOIFI adoption and earnings management? Evidence from Islamic banks. In T. Azid, M. Mukhlisin, N. Akbar, &amp; M. Tahir (Eds.), </w:t>
      </w:r>
      <w:r w:rsidRPr="003D3173">
        <w:rPr>
          <w:i/>
          <w:iCs/>
          <w:sz w:val="24"/>
          <w:szCs w:val="24"/>
          <w:lang w:val="en-ID" w:eastAsia="en-ID"/>
        </w:rPr>
        <w:t xml:space="preserve">Monetary policy, Islamic finance, and Islamic corporate governance: An international overview </w:t>
      </w:r>
      <w:r w:rsidRPr="003D3173">
        <w:rPr>
          <w:sz w:val="24"/>
          <w:szCs w:val="24"/>
          <w:lang w:val="en-ID" w:eastAsia="en-ID"/>
        </w:rPr>
        <w:t>. Emerald Publishing. https://doi.org/10.1108/978-1-80043-786-920211011</w:t>
      </w:r>
    </w:p>
    <w:p w14:paraId="6218A1F8" w14:textId="77777777" w:rsidR="001C294C" w:rsidRDefault="001C294C" w:rsidP="003D3173">
      <w:pPr>
        <w:pStyle w:val="BodyText"/>
        <w:spacing w:before="4"/>
        <w:ind w:left="0"/>
        <w:jc w:val="both"/>
        <w:rPr>
          <w:sz w:val="17"/>
        </w:rPr>
      </w:pPr>
    </w:p>
    <w:sectPr w:rsidR="001C294C" w:rsidSect="003D3173">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807AE"/>
    <w:multiLevelType w:val="hybridMultilevel"/>
    <w:tmpl w:val="9260F7CA"/>
    <w:lvl w:ilvl="0" w:tplc="88B88F84">
      <w:numFmt w:val="bullet"/>
      <w:lvlText w:val=""/>
      <w:lvlJc w:val="left"/>
      <w:pPr>
        <w:ind w:left="2184" w:hanging="360"/>
      </w:pPr>
      <w:rPr>
        <w:rFonts w:ascii="Symbol" w:eastAsia="Symbol" w:hAnsi="Symbol" w:cs="Symbol" w:hint="default"/>
        <w:b w:val="0"/>
        <w:bCs w:val="0"/>
        <w:i w:val="0"/>
        <w:iCs w:val="0"/>
        <w:spacing w:val="0"/>
        <w:w w:val="100"/>
        <w:sz w:val="24"/>
        <w:szCs w:val="24"/>
        <w:lang w:val="en-US" w:eastAsia="en-US" w:bidi="ar-SA"/>
      </w:rPr>
    </w:lvl>
    <w:lvl w:ilvl="1" w:tplc="239C8B50">
      <w:numFmt w:val="bullet"/>
      <w:lvlText w:val="•"/>
      <w:lvlJc w:val="left"/>
      <w:pPr>
        <w:ind w:left="2869" w:hanging="360"/>
      </w:pPr>
      <w:rPr>
        <w:rFonts w:hint="default"/>
        <w:lang w:val="en-US" w:eastAsia="en-US" w:bidi="ar-SA"/>
      </w:rPr>
    </w:lvl>
    <w:lvl w:ilvl="2" w:tplc="2076BBEE">
      <w:numFmt w:val="bullet"/>
      <w:lvlText w:val="•"/>
      <w:lvlJc w:val="left"/>
      <w:pPr>
        <w:ind w:left="3558" w:hanging="360"/>
      </w:pPr>
      <w:rPr>
        <w:rFonts w:hint="default"/>
        <w:lang w:val="en-US" w:eastAsia="en-US" w:bidi="ar-SA"/>
      </w:rPr>
    </w:lvl>
    <w:lvl w:ilvl="3" w:tplc="4E1CDC1E">
      <w:numFmt w:val="bullet"/>
      <w:lvlText w:val="•"/>
      <w:lvlJc w:val="left"/>
      <w:pPr>
        <w:ind w:left="4247" w:hanging="360"/>
      </w:pPr>
      <w:rPr>
        <w:rFonts w:hint="default"/>
        <w:lang w:val="en-US" w:eastAsia="en-US" w:bidi="ar-SA"/>
      </w:rPr>
    </w:lvl>
    <w:lvl w:ilvl="4" w:tplc="E59AEF74">
      <w:numFmt w:val="bullet"/>
      <w:lvlText w:val="•"/>
      <w:lvlJc w:val="left"/>
      <w:pPr>
        <w:ind w:left="4936" w:hanging="360"/>
      </w:pPr>
      <w:rPr>
        <w:rFonts w:hint="default"/>
        <w:lang w:val="en-US" w:eastAsia="en-US" w:bidi="ar-SA"/>
      </w:rPr>
    </w:lvl>
    <w:lvl w:ilvl="5" w:tplc="D6F8867C">
      <w:numFmt w:val="bullet"/>
      <w:lvlText w:val="•"/>
      <w:lvlJc w:val="left"/>
      <w:pPr>
        <w:ind w:left="5625" w:hanging="360"/>
      </w:pPr>
      <w:rPr>
        <w:rFonts w:hint="default"/>
        <w:lang w:val="en-US" w:eastAsia="en-US" w:bidi="ar-SA"/>
      </w:rPr>
    </w:lvl>
    <w:lvl w:ilvl="6" w:tplc="ED928ADE">
      <w:numFmt w:val="bullet"/>
      <w:lvlText w:val="•"/>
      <w:lvlJc w:val="left"/>
      <w:pPr>
        <w:ind w:left="6314" w:hanging="360"/>
      </w:pPr>
      <w:rPr>
        <w:rFonts w:hint="default"/>
        <w:lang w:val="en-US" w:eastAsia="en-US" w:bidi="ar-SA"/>
      </w:rPr>
    </w:lvl>
    <w:lvl w:ilvl="7" w:tplc="D954E60C">
      <w:numFmt w:val="bullet"/>
      <w:lvlText w:val="•"/>
      <w:lvlJc w:val="left"/>
      <w:pPr>
        <w:ind w:left="7003" w:hanging="360"/>
      </w:pPr>
      <w:rPr>
        <w:rFonts w:hint="default"/>
        <w:lang w:val="en-US" w:eastAsia="en-US" w:bidi="ar-SA"/>
      </w:rPr>
    </w:lvl>
    <w:lvl w:ilvl="8" w:tplc="ECF40274">
      <w:numFmt w:val="bullet"/>
      <w:lvlText w:val="•"/>
      <w:lvlJc w:val="left"/>
      <w:pPr>
        <w:ind w:left="7692" w:hanging="360"/>
      </w:pPr>
      <w:rPr>
        <w:rFonts w:hint="default"/>
        <w:lang w:val="en-US" w:eastAsia="en-US" w:bidi="ar-SA"/>
      </w:rPr>
    </w:lvl>
  </w:abstractNum>
  <w:abstractNum w:abstractNumId="1" w15:restartNumberingAfterBreak="0">
    <w:nsid w:val="2D263D7A"/>
    <w:multiLevelType w:val="hybridMultilevel"/>
    <w:tmpl w:val="3E34BAE2"/>
    <w:lvl w:ilvl="0" w:tplc="ED00D23A">
      <w:start w:val="1"/>
      <w:numFmt w:val="decimal"/>
      <w:lvlText w:val="%1."/>
      <w:lvlJc w:val="left"/>
      <w:pPr>
        <w:ind w:left="1104"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83248B74">
      <w:numFmt w:val="bullet"/>
      <w:lvlText w:val=""/>
      <w:lvlJc w:val="left"/>
      <w:pPr>
        <w:ind w:left="1824" w:hanging="361"/>
      </w:pPr>
      <w:rPr>
        <w:rFonts w:ascii="Wingdings" w:eastAsia="Wingdings" w:hAnsi="Wingdings" w:cs="Wingdings" w:hint="default"/>
        <w:b w:val="0"/>
        <w:bCs w:val="0"/>
        <w:i w:val="0"/>
        <w:iCs w:val="0"/>
        <w:spacing w:val="0"/>
        <w:w w:val="100"/>
        <w:sz w:val="24"/>
        <w:szCs w:val="24"/>
        <w:lang w:val="en-US" w:eastAsia="en-US" w:bidi="ar-SA"/>
      </w:rPr>
    </w:lvl>
    <w:lvl w:ilvl="2" w:tplc="8760DECC">
      <w:numFmt w:val="bullet"/>
      <w:lvlText w:val="•"/>
      <w:lvlJc w:val="left"/>
      <w:pPr>
        <w:ind w:left="2625" w:hanging="361"/>
      </w:pPr>
      <w:rPr>
        <w:rFonts w:hint="default"/>
        <w:lang w:val="en-US" w:eastAsia="en-US" w:bidi="ar-SA"/>
      </w:rPr>
    </w:lvl>
    <w:lvl w:ilvl="3" w:tplc="FA80C1B2">
      <w:numFmt w:val="bullet"/>
      <w:lvlText w:val="•"/>
      <w:lvlJc w:val="left"/>
      <w:pPr>
        <w:ind w:left="3431" w:hanging="361"/>
      </w:pPr>
      <w:rPr>
        <w:rFonts w:hint="default"/>
        <w:lang w:val="en-US" w:eastAsia="en-US" w:bidi="ar-SA"/>
      </w:rPr>
    </w:lvl>
    <w:lvl w:ilvl="4" w:tplc="6270D412">
      <w:numFmt w:val="bullet"/>
      <w:lvlText w:val="•"/>
      <w:lvlJc w:val="left"/>
      <w:pPr>
        <w:ind w:left="4236" w:hanging="361"/>
      </w:pPr>
      <w:rPr>
        <w:rFonts w:hint="default"/>
        <w:lang w:val="en-US" w:eastAsia="en-US" w:bidi="ar-SA"/>
      </w:rPr>
    </w:lvl>
    <w:lvl w:ilvl="5" w:tplc="5C86D30C">
      <w:numFmt w:val="bullet"/>
      <w:lvlText w:val="•"/>
      <w:lvlJc w:val="left"/>
      <w:pPr>
        <w:ind w:left="5042" w:hanging="361"/>
      </w:pPr>
      <w:rPr>
        <w:rFonts w:hint="default"/>
        <w:lang w:val="en-US" w:eastAsia="en-US" w:bidi="ar-SA"/>
      </w:rPr>
    </w:lvl>
    <w:lvl w:ilvl="6" w:tplc="09347A62">
      <w:numFmt w:val="bullet"/>
      <w:lvlText w:val="•"/>
      <w:lvlJc w:val="left"/>
      <w:pPr>
        <w:ind w:left="5847" w:hanging="361"/>
      </w:pPr>
      <w:rPr>
        <w:rFonts w:hint="default"/>
        <w:lang w:val="en-US" w:eastAsia="en-US" w:bidi="ar-SA"/>
      </w:rPr>
    </w:lvl>
    <w:lvl w:ilvl="7" w:tplc="A028BD3A">
      <w:numFmt w:val="bullet"/>
      <w:lvlText w:val="•"/>
      <w:lvlJc w:val="left"/>
      <w:pPr>
        <w:ind w:left="6653" w:hanging="361"/>
      </w:pPr>
      <w:rPr>
        <w:rFonts w:hint="default"/>
        <w:lang w:val="en-US" w:eastAsia="en-US" w:bidi="ar-SA"/>
      </w:rPr>
    </w:lvl>
    <w:lvl w:ilvl="8" w:tplc="FF982EB4">
      <w:numFmt w:val="bullet"/>
      <w:lvlText w:val="•"/>
      <w:lvlJc w:val="left"/>
      <w:pPr>
        <w:ind w:left="7458" w:hanging="361"/>
      </w:pPr>
      <w:rPr>
        <w:rFonts w:hint="default"/>
        <w:lang w:val="en-US" w:eastAsia="en-US" w:bidi="ar-SA"/>
      </w:rPr>
    </w:lvl>
  </w:abstractNum>
  <w:abstractNum w:abstractNumId="2" w15:restartNumberingAfterBreak="0">
    <w:nsid w:val="7D1903A5"/>
    <w:multiLevelType w:val="hybridMultilevel"/>
    <w:tmpl w:val="EF60BA8C"/>
    <w:lvl w:ilvl="0" w:tplc="33604FDA">
      <w:numFmt w:val="bullet"/>
      <w:lvlText w:val=""/>
      <w:lvlJc w:val="left"/>
      <w:pPr>
        <w:ind w:left="1824" w:hanging="361"/>
      </w:pPr>
      <w:rPr>
        <w:rFonts w:ascii="Symbol" w:eastAsia="Symbol" w:hAnsi="Symbol" w:cs="Symbol" w:hint="default"/>
        <w:b w:val="0"/>
        <w:bCs w:val="0"/>
        <w:i w:val="0"/>
        <w:iCs w:val="0"/>
        <w:spacing w:val="0"/>
        <w:w w:val="100"/>
        <w:sz w:val="24"/>
        <w:szCs w:val="24"/>
        <w:lang w:val="en-US" w:eastAsia="en-US" w:bidi="ar-SA"/>
      </w:rPr>
    </w:lvl>
    <w:lvl w:ilvl="1" w:tplc="EF868076">
      <w:numFmt w:val="bullet"/>
      <w:lvlText w:val=""/>
      <w:lvlJc w:val="left"/>
      <w:pPr>
        <w:ind w:left="2184" w:hanging="360"/>
      </w:pPr>
      <w:rPr>
        <w:rFonts w:ascii="Wingdings" w:eastAsia="Wingdings" w:hAnsi="Wingdings" w:cs="Wingdings" w:hint="default"/>
        <w:b w:val="0"/>
        <w:bCs w:val="0"/>
        <w:i w:val="0"/>
        <w:iCs w:val="0"/>
        <w:spacing w:val="0"/>
        <w:w w:val="100"/>
        <w:sz w:val="24"/>
        <w:szCs w:val="24"/>
        <w:lang w:val="en-US" w:eastAsia="en-US" w:bidi="ar-SA"/>
      </w:rPr>
    </w:lvl>
    <w:lvl w:ilvl="2" w:tplc="9A564426">
      <w:numFmt w:val="bullet"/>
      <w:lvlText w:val="•"/>
      <w:lvlJc w:val="left"/>
      <w:pPr>
        <w:ind w:left="2945" w:hanging="360"/>
      </w:pPr>
      <w:rPr>
        <w:rFonts w:hint="default"/>
        <w:lang w:val="en-US" w:eastAsia="en-US" w:bidi="ar-SA"/>
      </w:rPr>
    </w:lvl>
    <w:lvl w:ilvl="3" w:tplc="C6F06C70">
      <w:numFmt w:val="bullet"/>
      <w:lvlText w:val="•"/>
      <w:lvlJc w:val="left"/>
      <w:pPr>
        <w:ind w:left="3711" w:hanging="360"/>
      </w:pPr>
      <w:rPr>
        <w:rFonts w:hint="default"/>
        <w:lang w:val="en-US" w:eastAsia="en-US" w:bidi="ar-SA"/>
      </w:rPr>
    </w:lvl>
    <w:lvl w:ilvl="4" w:tplc="9B12A3B2">
      <w:numFmt w:val="bullet"/>
      <w:lvlText w:val="•"/>
      <w:lvlJc w:val="left"/>
      <w:pPr>
        <w:ind w:left="4476" w:hanging="360"/>
      </w:pPr>
      <w:rPr>
        <w:rFonts w:hint="default"/>
        <w:lang w:val="en-US" w:eastAsia="en-US" w:bidi="ar-SA"/>
      </w:rPr>
    </w:lvl>
    <w:lvl w:ilvl="5" w:tplc="67B06072">
      <w:numFmt w:val="bullet"/>
      <w:lvlText w:val="•"/>
      <w:lvlJc w:val="left"/>
      <w:pPr>
        <w:ind w:left="5242" w:hanging="360"/>
      </w:pPr>
      <w:rPr>
        <w:rFonts w:hint="default"/>
        <w:lang w:val="en-US" w:eastAsia="en-US" w:bidi="ar-SA"/>
      </w:rPr>
    </w:lvl>
    <w:lvl w:ilvl="6" w:tplc="82EADAA0">
      <w:numFmt w:val="bullet"/>
      <w:lvlText w:val="•"/>
      <w:lvlJc w:val="left"/>
      <w:pPr>
        <w:ind w:left="6007" w:hanging="360"/>
      </w:pPr>
      <w:rPr>
        <w:rFonts w:hint="default"/>
        <w:lang w:val="en-US" w:eastAsia="en-US" w:bidi="ar-SA"/>
      </w:rPr>
    </w:lvl>
    <w:lvl w:ilvl="7" w:tplc="CCD20E54">
      <w:numFmt w:val="bullet"/>
      <w:lvlText w:val="•"/>
      <w:lvlJc w:val="left"/>
      <w:pPr>
        <w:ind w:left="6773" w:hanging="360"/>
      </w:pPr>
      <w:rPr>
        <w:rFonts w:hint="default"/>
        <w:lang w:val="en-US" w:eastAsia="en-US" w:bidi="ar-SA"/>
      </w:rPr>
    </w:lvl>
    <w:lvl w:ilvl="8" w:tplc="2430AC0E">
      <w:numFmt w:val="bullet"/>
      <w:lvlText w:val="•"/>
      <w:lvlJc w:val="left"/>
      <w:pPr>
        <w:ind w:left="7538" w:hanging="360"/>
      </w:pPr>
      <w:rPr>
        <w:rFonts w:hint="default"/>
        <w:lang w:val="en-US" w:eastAsia="en-US" w:bidi="ar-SA"/>
      </w:rPr>
    </w:lvl>
  </w:abstractNum>
  <w:num w:numId="1" w16cid:durableId="480729826">
    <w:abstractNumId w:val="0"/>
  </w:num>
  <w:num w:numId="2" w16cid:durableId="475225264">
    <w:abstractNumId w:val="2"/>
  </w:num>
  <w:num w:numId="3" w16cid:durableId="2036035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4C"/>
    <w:rsid w:val="000605DF"/>
    <w:rsid w:val="001C294C"/>
    <w:rsid w:val="003169EA"/>
    <w:rsid w:val="003D3173"/>
    <w:rsid w:val="008A736E"/>
    <w:rsid w:val="008B277E"/>
    <w:rsid w:val="00B27103"/>
    <w:rsid w:val="00D440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D49E"/>
  <w15:docId w15:val="{164C4B6A-AB94-4625-8146-0ECD464F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04" w:hanging="360"/>
      <w:outlineLvl w:val="0"/>
    </w:pPr>
    <w:rPr>
      <w:b/>
      <w:bCs/>
      <w:sz w:val="24"/>
      <w:szCs w:val="24"/>
    </w:rPr>
  </w:style>
  <w:style w:type="paragraph" w:styleId="Heading2">
    <w:name w:val="heading 2"/>
    <w:basedOn w:val="Normal"/>
    <w:uiPriority w:val="9"/>
    <w:unhideWhenUsed/>
    <w:qFormat/>
    <w:pPr>
      <w:ind w:left="23"/>
      <w:outlineLvl w:val="1"/>
    </w:pPr>
    <w:rPr>
      <w:b/>
      <w:bCs/>
      <w:sz w:val="24"/>
      <w:szCs w:val="24"/>
    </w:rPr>
  </w:style>
  <w:style w:type="paragraph" w:styleId="Heading3">
    <w:name w:val="heading 3"/>
    <w:basedOn w:val="Normal"/>
    <w:next w:val="Normal"/>
    <w:link w:val="Heading3Char"/>
    <w:uiPriority w:val="9"/>
    <w:semiHidden/>
    <w:unhideWhenUsed/>
    <w:qFormat/>
    <w:rsid w:val="003D317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4"/>
    </w:pPr>
    <w:rPr>
      <w:sz w:val="24"/>
      <w:szCs w:val="24"/>
    </w:rPr>
  </w:style>
  <w:style w:type="paragraph" w:styleId="ListParagraph">
    <w:name w:val="List Paragraph"/>
    <w:basedOn w:val="Normal"/>
    <w:uiPriority w:val="1"/>
    <w:qFormat/>
    <w:pPr>
      <w:spacing w:before="138"/>
      <w:ind w:left="1824"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3D3173"/>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3169EA"/>
    <w:rPr>
      <w:color w:val="0000FF" w:themeColor="hyperlink"/>
      <w:u w:val="single"/>
    </w:rPr>
  </w:style>
  <w:style w:type="character" w:styleId="UnresolvedMention">
    <w:name w:val="Unresolved Mention"/>
    <w:basedOn w:val="DefaultParagraphFont"/>
    <w:uiPriority w:val="99"/>
    <w:semiHidden/>
    <w:unhideWhenUsed/>
    <w:rsid w:val="00316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ichaaputrielga@gmail.com" TargetMode="External"/><Relationship Id="rId13" Type="http://schemas.openxmlformats.org/officeDocument/2006/relationships/hyperlink" Target="mailto:septiarimadhona4@gmail.com" TargetMode="External"/><Relationship Id="rId18" Type="http://schemas.openxmlformats.org/officeDocument/2006/relationships/hyperlink" Target="https://doi.org/10.1108/IJIF-07-2017-00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ditaagustin5245@gmail.com1" TargetMode="External"/><Relationship Id="rId12" Type="http://schemas.openxmlformats.org/officeDocument/2006/relationships/hyperlink" Target="mailto:septiarimadhona4@gmail.com" TargetMode="External"/><Relationship Id="rId17" Type="http://schemas.openxmlformats.org/officeDocument/2006/relationships/hyperlink" Target="https://doi.org/10.1016/j.bir.2013.10.003" TargetMode="External"/><Relationship Id="rId2" Type="http://schemas.openxmlformats.org/officeDocument/2006/relationships/numbering" Target="numbering.xml"/><Relationship Id="rId16" Type="http://schemas.openxmlformats.org/officeDocument/2006/relationships/hyperlink" Target="https://doi.org/10.1057/s41283-023-00135-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itaagustin5245@gmail.com1" TargetMode="External"/><Relationship Id="rId11" Type="http://schemas.openxmlformats.org/officeDocument/2006/relationships/hyperlink" Target="mailto:safiraindrianti71@gmail.com" TargetMode="External"/><Relationship Id="rId5" Type="http://schemas.openxmlformats.org/officeDocument/2006/relationships/webSettings" Target="webSettings.xml"/><Relationship Id="rId15" Type="http://schemas.openxmlformats.org/officeDocument/2006/relationships/hyperlink" Target="https://doi.org/10.1016/j.jbankfin.2012.09.016" TargetMode="External"/><Relationship Id="rId10" Type="http://schemas.openxmlformats.org/officeDocument/2006/relationships/hyperlink" Target="mailto:safiraindrianti71@gmail.com" TargetMode="External"/><Relationship Id="rId19" Type="http://schemas.openxmlformats.org/officeDocument/2006/relationships/hyperlink" Target="https://doi.org/10.1016/j.bir.2015.10.001" TargetMode="External"/><Relationship Id="rId4" Type="http://schemas.openxmlformats.org/officeDocument/2006/relationships/settings" Target="settings.xml"/><Relationship Id="rId9" Type="http://schemas.openxmlformats.org/officeDocument/2006/relationships/hyperlink" Target="mailto:elichaaputrielga@gmail.com" TargetMode="External"/><Relationship Id="rId14" Type="http://schemas.openxmlformats.org/officeDocument/2006/relationships/hyperlink" Target="https://doi.org/10.1108/9781800437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DA9EF-B976-4C66-81DB-8BAE65380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6275</Words>
  <Characters>35769</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 Hype AMD</dc:creator>
  <cp:lastModifiedBy>e43215</cp:lastModifiedBy>
  <cp:revision>2</cp:revision>
  <dcterms:created xsi:type="dcterms:W3CDTF">2026-04-29T17:32:00Z</dcterms:created>
  <dcterms:modified xsi:type="dcterms:W3CDTF">2026-04-29T17:32:00Z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2026-04-16T00:00:00Z</vt:filetime>
  </property>
  <property fmtid="{D5CDD505-2E9C-101B-9397-08002B2CF9AE}" pid="4" name="Creator">
    <vt:lpwstr>Microsoft® Word 2016</vt:lpwstr>
  </property>
  <property fmtid="{D5CDD505-2E9C-101B-9397-08002B2CF9AE}" pid="5" name="LastSaved">
    <vt:filetime>2026-04-29T00:00:00Z</vt:filetime>
  </property>
  <property fmtid="{D5CDD505-2E9C-101B-9397-08002B2CF9AE}" pid="6" name="Producer">
    <vt:lpwstr>www.ilovepdf.com</vt:lpwstr>
  </property>
</Properties>
</file>